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26000D" w:rsidRPr="008A7E71" w:rsidP="00A822FC" w14:paraId="2E178DFD" w14:textId="38A38399">
      <w:pPr>
        <w:pStyle w:val="MainTitle"/>
        <w:spacing w:line="192" w:lineRule="auto"/>
      </w:pPr>
      <w:r w:rsidR="000F4719">
        <w:drawing>
          <wp:anchor simplePos="0" relativeHeight="251658240" behindDoc="0" locked="1" layoutInCell="1" allowOverlap="1">
            <wp:simplePos x="0" y="0"/>
            <wp:positionH relativeFrom="margin">
              <wp:posOffset>2730500</wp:posOffset>
            </wp:positionH>
            <wp:positionV relativeFrom="margin">
              <wp:posOffset>6223000</wp:posOffset>
            </wp:positionV>
            <wp:extent cx="1645923" cy="1120142"/>
            <wp:wrapNone/>
            <wp:docPr id="100039"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xmlns:r="http://schemas.openxmlformats.org/officeDocument/2006/relationships" r:embed="rId8"/>
                    <a:stretch>
                      <a:fillRect/>
                    </a:stretch>
                  </pic:blipFill>
                  <pic:spPr>
                    <a:xfrm>
                      <a:off x="0" y="0"/>
                      <a:ext cx="1645923" cy="1120142"/>
                    </a:xfrm>
                    <a:prstGeom prst="rect">
                      <a:avLst/>
                    </a:prstGeom>
                  </pic:spPr>
                </pic:pic>
              </a:graphicData>
            </a:graphic>
          </wp:anchor>
        </w:drawing>
      </w:r>
      <w:r>
        <w:rPr>
          <w:noProof/>
        </w:rPr>
        <mc:AlternateContent>
          <mc:Choice Requires="wpg">
            <w:drawing>
              <wp:anchor distT="0" distB="0" distL="114300" distR="114300" simplePos="0" relativeHeight="251666432" behindDoc="1" locked="0" layoutInCell="1" allowOverlap="1">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968798"/>
                          <a:chOff x="0" y="0"/>
                          <a:chExt cx="7771765" cy="2968798"/>
                        </a:xfrm>
                      </wpg:grpSpPr>
                      <wpg:grpSp>
                        <wpg:cNvPr id="2"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xmlns:wps="http://schemas.microsoft.com/office/word/2010/wordprocessingShape">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A95ADA" w:rsidRPr="00B27C10" w:rsidP="00A95ADA" w14:textId="1E7B9961">
                                <w:pPr>
                                  <w:pStyle w:val="SubHeader"/>
                                  <w:rPr>
                                    <w:color w:val="5083C9"/>
                                    <w:sz w:val="32"/>
                                    <w:szCs w:val="32"/>
                                  </w:rPr>
                                </w:pPr>
                                <w:r>
                                  <w:rPr>
                                    <w:color w:val="5083C9"/>
                                    <w:sz w:val="32"/>
                                    <w:szCs w:val="32"/>
                                  </w:rPr>
                                  <w:t>Prepare for End of 2023</w:t>
                                </w:r>
                              </w:p>
                            </w:txbxContent>
                          </wps:txbx>
                          <wps:bodyPr rot="0" vert="horz" wrap="square" lIns="91440" tIns="45720" rIns="91440" bIns="45720" anchor="t" anchorCtr="0"/>
                        </wps:wsp>
                      </wpg:grpSp>
                      <wps:wsp xmlns:wps="http://schemas.microsoft.com/office/word/2010/wordprocessingShape">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rsidR="0016683E" w:rsidRPr="00526C74" w:rsidP="008737BF" w14:textId="43B6F010">
                              <w:pPr>
                                <w:pStyle w:val="BodyText"/>
                                <w:spacing w:after="60"/>
                              </w:pPr>
                              <w:r>
                                <w:t>Tasks that may need to be completed by year-end include</w:t>
                              </w:r>
                              <w:r w:rsidR="00FD4E43">
                                <w:t xml:space="preserve"> the following</w:t>
                              </w:r>
                              <w:r w:rsidR="00401DA7">
                                <w:t xml:space="preserve">: </w:t>
                              </w:r>
                              <w:r w:rsidR="00DF3867">
                                <w:t xml:space="preserve"> </w:t>
                              </w:r>
                              <w:r w:rsidR="00AC0606">
                                <w:t xml:space="preserve"> </w:t>
                              </w:r>
                            </w:p>
                            <w:p w:rsidR="0024208C" w:rsidP="00D677C1" w14:textId="4A474170">
                              <w:pPr>
                                <w:pStyle w:val="Xbox"/>
                                <w:numPr>
                                  <w:ilvl w:val="0"/>
                                  <w:numId w:val="15"/>
                                </w:numPr>
                                <w:ind w:left="547"/>
                                <w:jc w:val="left"/>
                              </w:pPr>
                              <w:r>
                                <w:t xml:space="preserve">Ensure gag clause attestation is submitted for </w:t>
                              </w:r>
                              <w:r w:rsidR="00730802">
                                <w:t xml:space="preserve">the health plan; </w:t>
                              </w:r>
                            </w:p>
                            <w:p w:rsidR="00730802" w:rsidP="00D677C1" w14:textId="339FCEB6">
                              <w:pPr>
                                <w:pStyle w:val="Xbox"/>
                                <w:numPr>
                                  <w:ilvl w:val="0"/>
                                  <w:numId w:val="15"/>
                                </w:numPr>
                                <w:jc w:val="left"/>
                              </w:pPr>
                              <w:r>
                                <w:t>Remind employees about rules for unused balances in FSAs and HRAs</w:t>
                              </w:r>
                              <w:r w:rsidR="00295154">
                                <w:t xml:space="preserve">; </w:t>
                              </w:r>
                            </w:p>
                            <w:p w:rsidR="00FD4E43" w:rsidP="00D677C1" w14:textId="158D1482">
                              <w:pPr>
                                <w:pStyle w:val="Xbox"/>
                                <w:numPr>
                                  <w:ilvl w:val="0"/>
                                  <w:numId w:val="15"/>
                                </w:numPr>
                                <w:jc w:val="left"/>
                              </w:pPr>
                              <w:r>
                                <w:t xml:space="preserve">Send annual notices; </w:t>
                              </w:r>
                            </w:p>
                            <w:p w:rsidR="00FD4E43" w:rsidP="00D677C1" w14:textId="7144EFBB">
                              <w:pPr>
                                <w:pStyle w:val="Xbox"/>
                                <w:numPr>
                                  <w:ilvl w:val="0"/>
                                  <w:numId w:val="15"/>
                                </w:numPr>
                                <w:jc w:val="left"/>
                              </w:pPr>
                              <w:r>
                                <w:t xml:space="preserve">Perform nondiscrimination testing; </w:t>
                              </w:r>
                              <w:r w:rsidR="008737BF">
                                <w:t>and</w:t>
                              </w:r>
                            </w:p>
                            <w:p w:rsidR="00FD4E43" w:rsidRPr="00526C74" w:rsidP="00D677C1" w14:textId="474DC562">
                              <w:pPr>
                                <w:pStyle w:val="Xbox"/>
                                <w:numPr>
                                  <w:ilvl w:val="0"/>
                                  <w:numId w:val="15"/>
                                </w:numPr>
                                <w:jc w:val="left"/>
                              </w:pPr>
                              <w:r>
                                <w:t>Amend plan documents</w:t>
                              </w:r>
                              <w:r w:rsidR="008737BF">
                                <w:t>.</w:t>
                              </w:r>
                            </w:p>
                          </w:txbxContent>
                        </wps:txbx>
                        <wps:bodyPr rot="0" vert="horz" wrap="square" lIns="91440" tIns="45720" rIns="91440" bIns="45720" anchor="t" anchorCtr="0"/>
                      </wps:wsp>
                    </wpg:wgp>
                  </a:graphicData>
                </a:graphic>
              </wp:anchor>
            </w:drawing>
          </mc:Choice>
          <mc:Fallback>
            <w:pict>
              <v:group id="Group 7" o:spid="_x0000_s1025" style="width:612pt;height:234.01pt;margin-top:0.49pt;margin-left:-36pt;mso-wrap-distance-bottom:0;mso-wrap-distance-left:9pt;mso-wrap-distance-right:9pt;mso-wrap-distance-top:0;position:absolute;z-index:-251651072" coordorigin="0,0" coordsize="21600,21600">
                <v:group id="_x0000_s1026" style="width:21600;height:6967;position:absolute"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21600;height:14209;position:absolute;top:7391">
                    <v:imagedata r:id="rId9" o:title=""/>
                  </v:shape>
                  <v:shapetype id="_x0000_t202" coordsize="21600,21600" o:spt="202" path="m,l,21600r21600,l21600,xe">
                    <v:stroke joinstyle="miter"/>
                    <v:path gradientshapeok="t" o:connecttype="rect"/>
                  </v:shapetype>
                  <v:shape id="_x0000_s1028" type="#_x0000_t202" style="width:6706;height:7434;left:13956;position:absolute;v-text-anchor:top" filled="f" fillcolor="this" stroked="f" strokeweight="0.75pt">
                    <v:textbox>
                      <w:txbxContent>
                        <w:p w:rsidR="00A95ADA" w:rsidRPr="00B27C10" w:rsidP="00A95ADA" w14:paraId="3AAAD839" w14:textId="1E7B9961">
                          <w:pPr>
                            <w:pStyle w:val="SubHeader"/>
                            <w:rPr>
                              <w:color w:val="5083C9"/>
                              <w:sz w:val="32"/>
                              <w:szCs w:val="32"/>
                            </w:rPr>
                          </w:pPr>
                          <w:r>
                            <w:rPr>
                              <w:color w:val="5083C9"/>
                              <w:sz w:val="32"/>
                              <w:szCs w:val="32"/>
                            </w:rPr>
                            <w:t>Prepare for End of 2023</w:t>
                          </w:r>
                        </w:p>
                      </w:txbxContent>
                    </v:textbox>
                  </v:shape>
                </v:group>
                <v:shape id="_x0000_s1029" type="#_x0000_t202" style="width:6706;height:18979;left:13958;position:absolute;top:2621;v-text-anchor:top" filled="f" fillcolor="this" stroked="f" strokeweight="0.75pt">
                  <v:textbox>
                    <w:txbxContent>
                      <w:p w:rsidR="0016683E" w:rsidRPr="00526C74" w:rsidP="008737BF" w14:paraId="261B24E1" w14:textId="43B6F010">
                        <w:pPr>
                          <w:pStyle w:val="BodyText"/>
                          <w:spacing w:after="60"/>
                        </w:pPr>
                        <w:r>
                          <w:t>Tasks that may need to be completed by year-end include</w:t>
                        </w:r>
                        <w:r w:rsidR="00FD4E43">
                          <w:t xml:space="preserve"> the following</w:t>
                        </w:r>
                        <w:r w:rsidR="00401DA7">
                          <w:t xml:space="preserve">: </w:t>
                        </w:r>
                        <w:r w:rsidR="00DF3867">
                          <w:t xml:space="preserve"> </w:t>
                        </w:r>
                        <w:r w:rsidR="00AC0606">
                          <w:t xml:space="preserve"> </w:t>
                        </w:r>
                      </w:p>
                      <w:p w:rsidR="0024208C" w:rsidP="00D677C1" w14:paraId="0C9AEC12" w14:textId="4A474170">
                        <w:pPr>
                          <w:pStyle w:val="Xbox"/>
                          <w:numPr>
                            <w:ilvl w:val="0"/>
                            <w:numId w:val="15"/>
                          </w:numPr>
                          <w:ind w:left="547"/>
                          <w:jc w:val="left"/>
                        </w:pPr>
                        <w:r>
                          <w:t xml:space="preserve">Ensure gag clause attestation is submitted for </w:t>
                        </w:r>
                        <w:r w:rsidR="00730802">
                          <w:t xml:space="preserve">the health plan; </w:t>
                        </w:r>
                      </w:p>
                      <w:p w:rsidR="00730802" w:rsidP="00D677C1" w14:paraId="45CBFC21" w14:textId="339FCEB6">
                        <w:pPr>
                          <w:pStyle w:val="Xbox"/>
                          <w:numPr>
                            <w:ilvl w:val="0"/>
                            <w:numId w:val="15"/>
                          </w:numPr>
                          <w:jc w:val="left"/>
                        </w:pPr>
                        <w:r>
                          <w:t>Remind employees about rules for unused balances in FSAs and HRAs</w:t>
                        </w:r>
                        <w:r w:rsidR="00295154">
                          <w:t xml:space="preserve">; </w:t>
                        </w:r>
                      </w:p>
                      <w:p w:rsidR="00FD4E43" w:rsidP="00D677C1" w14:paraId="7C6C1061" w14:textId="158D1482">
                        <w:pPr>
                          <w:pStyle w:val="Xbox"/>
                          <w:numPr>
                            <w:ilvl w:val="0"/>
                            <w:numId w:val="15"/>
                          </w:numPr>
                          <w:jc w:val="left"/>
                        </w:pPr>
                        <w:r>
                          <w:t xml:space="preserve">Send annual notices; </w:t>
                        </w:r>
                      </w:p>
                      <w:p w:rsidR="00FD4E43" w:rsidP="00D677C1" w14:paraId="3DA52482" w14:textId="7144EFBB">
                        <w:pPr>
                          <w:pStyle w:val="Xbox"/>
                          <w:numPr>
                            <w:ilvl w:val="0"/>
                            <w:numId w:val="15"/>
                          </w:numPr>
                          <w:jc w:val="left"/>
                        </w:pPr>
                        <w:r>
                          <w:t xml:space="preserve">Perform nondiscrimination testing; </w:t>
                        </w:r>
                        <w:r w:rsidR="008737BF">
                          <w:t>and</w:t>
                        </w:r>
                      </w:p>
                      <w:p w:rsidR="00FD4E43" w:rsidRPr="00526C74" w:rsidP="00D677C1" w14:paraId="65A11E09" w14:textId="474DC562">
                        <w:pPr>
                          <w:pStyle w:val="Xbox"/>
                          <w:numPr>
                            <w:ilvl w:val="0"/>
                            <w:numId w:val="15"/>
                          </w:numPr>
                          <w:jc w:val="left"/>
                        </w:pPr>
                        <w:r>
                          <w:t>Amend plan documents</w:t>
                        </w:r>
                        <w:r w:rsidR="008737BF">
                          <w:t>.</w:t>
                        </w:r>
                      </w:p>
                    </w:txbxContent>
                  </v:textbox>
                </v:shape>
              </v:group>
            </w:pict>
          </mc:Fallback>
        </mc:AlternateContent>
      </w:r>
      <w:r w:rsidR="000F4719">
        <w:t xml:space="preserve">2023 </w:t>
      </w:r>
      <w:r w:rsidR="001F4E63">
        <w:t>Year-en</w:t>
      </w:r>
      <w:r w:rsidR="00274926">
        <w:t>d</w:t>
      </w:r>
      <w:r w:rsidR="00511288">
        <w:t xml:space="preserve"> </w:t>
      </w:r>
      <w:r w:rsidR="009D6006">
        <w:t xml:space="preserve">Checklist for </w:t>
      </w:r>
      <w:r w:rsidR="00C05C98">
        <w:t>Employee Benefit Plans</w:t>
      </w:r>
    </w:p>
    <w:p w:rsidR="0021610A" w:rsidP="00E9376A" w14:paraId="78E08E93" w14:textId="02B92C9B">
      <w:pPr>
        <w:pStyle w:val="BodyText"/>
        <w:spacing w:after="120"/>
      </w:pPr>
      <w:r>
        <w:t>Although the end of the year is a busy time</w:t>
      </w:r>
      <w:r w:rsidR="0079625A">
        <w:t xml:space="preserve">, employers should continue to prioritize compliance </w:t>
      </w:r>
      <w:r w:rsidR="00F57632">
        <w:t>requirements for their employee benefit plans</w:t>
      </w:r>
      <w:r w:rsidR="00F9385F">
        <w:t>. There a</w:t>
      </w:r>
      <w:r w:rsidR="00686482">
        <w:t>re several</w:t>
      </w:r>
      <w:r w:rsidR="00F9385F">
        <w:t xml:space="preserve"> </w:t>
      </w:r>
      <w:r w:rsidR="004B2883">
        <w:t>benefit</w:t>
      </w:r>
      <w:r w:rsidR="00686482">
        <w:t xml:space="preserve">s-related </w:t>
      </w:r>
      <w:r w:rsidR="00F9385F">
        <w:t xml:space="preserve">tasks that employers should make sure are completed by the end of 2023, such as: </w:t>
      </w:r>
    </w:p>
    <w:p w:rsidR="00F9385F" w:rsidP="00F9385F" w14:paraId="0572B829" w14:textId="6B0D60C2">
      <w:pPr>
        <w:pStyle w:val="Bullet"/>
      </w:pPr>
      <w:r>
        <w:t xml:space="preserve">Submitting </w:t>
      </w:r>
      <w:r w:rsidR="00686482">
        <w:t>a gag clause attestation for their health plan</w:t>
      </w:r>
      <w:r w:rsidR="00314238">
        <w:t>s</w:t>
      </w:r>
      <w:r w:rsidR="00686482">
        <w:t xml:space="preserve"> (or confirming that an issuer or third-party administrator (TPA) submit</w:t>
      </w:r>
      <w:r w:rsidR="00B71335">
        <w:t>s</w:t>
      </w:r>
      <w:r w:rsidR="00686482">
        <w:t xml:space="preserve"> the attestation</w:t>
      </w:r>
      <w:r w:rsidR="00B71335">
        <w:t>)</w:t>
      </w:r>
      <w:r w:rsidR="00686482">
        <w:t xml:space="preserve">; </w:t>
      </w:r>
    </w:p>
    <w:p w:rsidR="00686482" w:rsidP="00F9385F" w14:paraId="6F91291D" w14:textId="2B7181DF">
      <w:pPr>
        <w:pStyle w:val="Bullet"/>
      </w:pPr>
      <w:r>
        <w:t xml:space="preserve">Amending plan documents for discretionary changes made for 2023; </w:t>
      </w:r>
    </w:p>
    <w:p w:rsidR="00140B40" w:rsidP="00F9385F" w14:paraId="00F3B3EC" w14:textId="1B27C7EA">
      <w:pPr>
        <w:pStyle w:val="Bullet"/>
      </w:pPr>
      <w:r>
        <w:t>Confirming annual notices</w:t>
      </w:r>
      <w:r w:rsidR="00762D4E">
        <w:t xml:space="preserve"> </w:t>
      </w:r>
      <w:r>
        <w:t>have been provided</w:t>
      </w:r>
      <w:r w:rsidR="00A822FC">
        <w:t>, such as the Children’s Health Insurance Plan (CHIP) notice</w:t>
      </w:r>
      <w:r>
        <w:t xml:space="preserve">; and </w:t>
      </w:r>
    </w:p>
    <w:p w:rsidR="00AA5097" w:rsidP="00E9376A" w14:paraId="2C762BD7" w14:textId="55648B3B">
      <w:pPr>
        <w:pStyle w:val="Bullet"/>
        <w:spacing w:after="120"/>
      </w:pPr>
      <w:r>
        <w:t xml:space="preserve">Performing any necessary nondiscrimination testing. </w:t>
      </w:r>
    </w:p>
    <w:p w:rsidR="00AA5097" w:rsidP="004934D4" w14:paraId="65CE0EE5" w14:textId="7FCFCA27">
      <w:pPr>
        <w:pStyle w:val="BodyText"/>
        <w:spacing w:after="120"/>
      </w:pPr>
      <w:r>
        <w:t xml:space="preserve">In addition, </w:t>
      </w:r>
      <w:r w:rsidR="00E9376A">
        <w:t xml:space="preserve">employers should take steps to prepare for </w:t>
      </w:r>
      <w:r w:rsidR="002F3024">
        <w:t>next year</w:t>
      </w:r>
      <w:r w:rsidR="009C4093">
        <w:t xml:space="preserve">. For applicable large employers (ALEs), this includes making sure that health plan coverage </w:t>
      </w:r>
      <w:r w:rsidR="00152EC0">
        <w:t>will be</w:t>
      </w:r>
      <w:r w:rsidR="009C4093">
        <w:t xml:space="preserve"> affordable for full-time employees. </w:t>
      </w:r>
      <w:r w:rsidR="007A7CE7">
        <w:t xml:space="preserve">Employers should also update employee benefit plan limits for 2024 and </w:t>
      </w:r>
      <w:r w:rsidR="0074786B">
        <w:t xml:space="preserve">revise employee </w:t>
      </w:r>
      <w:r w:rsidR="00951101">
        <w:t xml:space="preserve">communications, such as </w:t>
      </w:r>
      <w:r w:rsidR="006F3D3D">
        <w:t>summary plan descriptions (SPDs)</w:t>
      </w:r>
      <w:r w:rsidR="00A71B7F">
        <w:t>,</w:t>
      </w:r>
      <w:r w:rsidR="006F3D3D">
        <w:t xml:space="preserve"> for 2024 benefi</w:t>
      </w:r>
      <w:r w:rsidR="00A71B7F">
        <w:t>t</w:t>
      </w:r>
      <w:r w:rsidR="006F3D3D">
        <w:t xml:space="preserve"> changes. </w:t>
      </w:r>
    </w:p>
    <w:p w:rsidR="00BF1282" w:rsidP="00E9376A" w14:paraId="3B62D55A" w14:textId="68D64F12">
      <w:pPr>
        <w:pStyle w:val="BodyText"/>
      </w:pPr>
      <w:r>
        <w:t xml:space="preserve">This Compliance Overview contains a year-end compliance checklist for employee benefit plans. </w:t>
      </w:r>
    </w:p>
    <w:p w:rsidR="00A357CD" w:rsidRPr="007A7CE7" w:rsidP="00BF1282" w14:paraId="243F402A" w14:textId="390237C5">
      <w:pPr>
        <w:pStyle w:val="Bullet"/>
        <w:numPr>
          <w:ilvl w:val="0"/>
          <w:numId w:val="0"/>
        </w:numPr>
        <w:ind w:left="720" w:hanging="360"/>
        <w:rPr>
          <w:b/>
          <w:color w:val="FFFFFF" w:themeColor="background1"/>
        </w:rPr>
        <w:sectPr w:rsidSect="008A7E71">
          <w:headerReference w:type="default" r:id="rId10"/>
          <w:footerReference w:type="default" r:id="rId11"/>
          <w:pgSz w:w="12240" w:h="15840"/>
          <w:pgMar w:top="3946" w:right="4680" w:bottom="1440" w:left="720" w:header="720" w:footer="720" w:gutter="0"/>
          <w:cols w:space="720"/>
          <w:docGrid w:linePitch="360"/>
        </w:sectPr>
      </w:pPr>
      <w:r>
        <w:rPr>
          <w:noProof/>
        </w:rPr>
        <mc:AlternateContent>
          <mc:Choice Requires="wps">
            <w:drawing>
              <wp:anchor distT="0" distB="0" distL="114300" distR="114300" simplePos="0" relativeHeight="251664384" behindDoc="0" locked="0" layoutInCell="1" allowOverlap="1">
                <wp:simplePos x="0" y="0"/>
                <wp:positionH relativeFrom="margin">
                  <wp:posOffset>-6350</wp:posOffset>
                </wp:positionH>
                <wp:positionV relativeFrom="page">
                  <wp:posOffset>6991350</wp:posOffset>
                </wp:positionV>
                <wp:extent cx="4356735" cy="1371600"/>
                <wp:effectExtent l="0" t="0" r="5715" b="0"/>
                <wp:wrapTopAndBottom/>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56735" cy="1371600"/>
                        </a:xfrm>
                        <a:prstGeom prst="rect">
                          <a:avLst/>
                        </a:prstGeom>
                        <a:solidFill>
                          <a:srgbClr val="5083C9">
                            <a:alpha val="10000"/>
                          </a:srgbClr>
                        </a:solidFill>
                        <a:ln w="38100">
                          <a:noFill/>
                          <a:miter lim="800000"/>
                          <a:headEnd/>
                          <a:tailEnd/>
                        </a:ln>
                      </wps:spPr>
                      <wps:txbx>
                        <w:txbxContent>
                          <w:p w:rsidR="008C01A9" w:rsidRPr="008C01A9" w:rsidP="00A95ADA" w14:textId="77777777">
                            <w:pPr>
                              <w:pStyle w:val="LR-Heading"/>
                              <w:rPr>
                                <w:color w:val="5083C9"/>
                              </w:rPr>
                            </w:pPr>
                            <w:r w:rsidRPr="008C01A9">
                              <w:rPr>
                                <w:color w:val="5083C9"/>
                              </w:rPr>
                              <w:t xml:space="preserve">Links and </w:t>
                            </w:r>
                            <w:r w:rsidRPr="00506D93">
                              <w:rPr>
                                <w:color w:val="5083C9"/>
                              </w:rPr>
                              <w:t>Resources</w:t>
                            </w:r>
                          </w:p>
                          <w:p w:rsidR="00EA1143" w:rsidP="00EA1143" w14:textId="10539EEE">
                            <w:pPr>
                              <w:pStyle w:val="Bullet"/>
                              <w:spacing w:after="60"/>
                              <w:ind w:left="446"/>
                            </w:pPr>
                            <w:r>
                              <w:t xml:space="preserve">Gag clause </w:t>
                            </w:r>
                            <w:r w:rsidR="00BF1282">
                              <w:t xml:space="preserve">attestation </w:t>
                            </w:r>
                            <w:hyperlink r:id="rId12" w:history="1">
                              <w:r w:rsidRPr="00BF1282" w:rsidR="00BF1282">
                                <w:rPr>
                                  <w:rStyle w:val="Hyperlink"/>
                                </w:rPr>
                                <w:t>website</w:t>
                              </w:r>
                            </w:hyperlink>
                          </w:p>
                          <w:p w:rsidR="00EA1143" w:rsidP="00EA1143" w14:textId="77777777">
                            <w:pPr>
                              <w:pStyle w:val="Bullet"/>
                              <w:spacing w:after="60"/>
                              <w:ind w:left="446"/>
                            </w:pPr>
                            <w:hyperlink r:id="rId13" w:history="1">
                              <w:r w:rsidRPr="00534277">
                                <w:rPr>
                                  <w:rStyle w:val="Hyperlink"/>
                                </w:rPr>
                                <w:t>Model notices</w:t>
                              </w:r>
                            </w:hyperlink>
                            <w:r>
                              <w:t xml:space="preserve"> for group health plans, including the Women’s Health and Cancer Rights Act (WHCRA) notice</w:t>
                            </w:r>
                          </w:p>
                          <w:p w:rsidR="00EA1143" w:rsidP="00EA1143" w14:textId="04ECDB79">
                            <w:pPr>
                              <w:pStyle w:val="Bullet"/>
                              <w:spacing w:after="120"/>
                              <w:ind w:left="446"/>
                            </w:pPr>
                            <w:hyperlink r:id="rId14" w:history="1">
                              <w:r w:rsidRPr="00320835">
                                <w:rPr>
                                  <w:rStyle w:val="Hyperlink"/>
                                </w:rPr>
                                <w:t>Model CHIP notice</w:t>
                              </w:r>
                            </w:hyperlink>
                          </w:p>
                          <w:p w:rsidR="008C01A9" w:rsidRPr="007201D3" w:rsidP="00A95ADA" w14:textId="2B41A4CE">
                            <w:pPr>
                              <w:pStyle w:val="BulletList"/>
                              <w:jc w:val="left"/>
                            </w:pPr>
                          </w:p>
                          <w:p w:rsidR="00BB6B87" w14:textId="77777777"/>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21" o:spid="_x0000_s1030" type="#_x0000_t202" style="width:343.05pt;height:108pt;margin-top:550.5pt;margin-left:-0.5pt;mso-height-percent:0;mso-height-relative:margin;mso-position-horizontal-relative:margin;mso-position-vertical-relative:page;mso-width-percent:0;mso-width-relative:margin;mso-wrap-distance-bottom:0;mso-wrap-distance-left:9pt;mso-wrap-distance-right:9pt;mso-wrap-distance-top:0;position:absolute;v-text-anchor:top;z-index:251663360" fillcolor="#5083c9" stroked="f" strokeweight="3pt">
                <v:fill opacity="6682f"/>
                <v:textbox inset=",0">
                  <w:txbxContent>
                    <w:p w:rsidR="008C01A9" w:rsidRPr="008C01A9" w:rsidP="00A95ADA" w14:paraId="2D2C2866" w14:textId="77777777">
                      <w:pPr>
                        <w:pStyle w:val="LR-Heading"/>
                        <w:rPr>
                          <w:color w:val="5083C9"/>
                        </w:rPr>
                      </w:pPr>
                      <w:r w:rsidRPr="008C01A9">
                        <w:rPr>
                          <w:color w:val="5083C9"/>
                        </w:rPr>
                        <w:t xml:space="preserve">Links and </w:t>
                      </w:r>
                      <w:r w:rsidRPr="00506D93">
                        <w:rPr>
                          <w:color w:val="5083C9"/>
                        </w:rPr>
                        <w:t>Resources</w:t>
                      </w:r>
                    </w:p>
                    <w:p w:rsidR="00EA1143" w:rsidP="00EA1143" w14:paraId="0679A71A" w14:textId="10539EEE">
                      <w:pPr>
                        <w:pStyle w:val="Bullet"/>
                        <w:spacing w:after="60"/>
                        <w:ind w:left="446"/>
                      </w:pPr>
                      <w:r>
                        <w:t xml:space="preserve">Gag clause </w:t>
                      </w:r>
                      <w:r w:rsidR="00BF1282">
                        <w:t xml:space="preserve">attestation </w:t>
                      </w:r>
                      <w:hyperlink r:id="rId12" w:history="1">
                        <w:r w:rsidRPr="00BF1282" w:rsidR="00BF1282">
                          <w:rPr>
                            <w:rStyle w:val="Hyperlink"/>
                          </w:rPr>
                          <w:t>website</w:t>
                        </w:r>
                      </w:hyperlink>
                    </w:p>
                    <w:p w:rsidR="00EA1143" w:rsidP="00EA1143" w14:paraId="040C5010" w14:textId="77777777">
                      <w:pPr>
                        <w:pStyle w:val="Bullet"/>
                        <w:spacing w:after="60"/>
                        <w:ind w:left="446"/>
                      </w:pPr>
                      <w:hyperlink r:id="rId13" w:history="1">
                        <w:r w:rsidRPr="00534277">
                          <w:rPr>
                            <w:rStyle w:val="Hyperlink"/>
                          </w:rPr>
                          <w:t>Model notices</w:t>
                        </w:r>
                      </w:hyperlink>
                      <w:r>
                        <w:t xml:space="preserve"> for group health plans, including the Women’s Health and Cancer Rights Act (WHCRA) notice</w:t>
                      </w:r>
                    </w:p>
                    <w:p w:rsidR="00EA1143" w:rsidP="00EA1143" w14:paraId="2B00B0DD" w14:textId="04ECDB79">
                      <w:pPr>
                        <w:pStyle w:val="Bullet"/>
                        <w:spacing w:after="120"/>
                        <w:ind w:left="446"/>
                      </w:pPr>
                      <w:hyperlink r:id="rId14" w:history="1">
                        <w:r w:rsidRPr="00320835">
                          <w:rPr>
                            <w:rStyle w:val="Hyperlink"/>
                          </w:rPr>
                          <w:t>Model CHIP notice</w:t>
                        </w:r>
                      </w:hyperlink>
                    </w:p>
                    <w:p w:rsidR="008C01A9" w:rsidRPr="007201D3" w:rsidP="00A95ADA" w14:paraId="0EA528CC" w14:textId="2B41A4CE">
                      <w:pPr>
                        <w:pStyle w:val="BulletList"/>
                        <w:jc w:val="left"/>
                      </w:pPr>
                    </w:p>
                    <w:p w:rsidR="00BB6B87" w14:paraId="42BA7725" w14:textId="77777777"/>
                  </w:txbxContent>
                </v:textbox>
                <w10:wrap type="topAndBottom"/>
              </v:shape>
            </w:pict>
          </mc:Fallback>
        </mc:AlternateContent>
      </w:r>
      <w:r w:rsidR="00FD61EC">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xmlns:wps="http://schemas.microsoft.com/office/word/2010/wordprocessingShape">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rsidR="00677DD4" w:rsidRPr="00B27C10" w:rsidP="00677DD4" w14:textId="2AD22A93">
                                <w:pPr>
                                  <w:pStyle w:val="SubHeader"/>
                                  <w:rPr>
                                    <w:color w:val="5083C9"/>
                                    <w:sz w:val="32"/>
                                    <w:szCs w:val="32"/>
                                  </w:rPr>
                                </w:pPr>
                                <w:r>
                                  <w:rPr>
                                    <w:color w:val="5083C9"/>
                                    <w:sz w:val="32"/>
                                    <w:szCs w:val="32"/>
                                  </w:rPr>
                                  <w:t xml:space="preserve">Prepare for </w:t>
                                </w:r>
                                <w:r w:rsidR="006E21FB">
                                  <w:rPr>
                                    <w:color w:val="5083C9"/>
                                    <w:sz w:val="32"/>
                                    <w:szCs w:val="32"/>
                                  </w:rPr>
                                  <w:t xml:space="preserve">Start of </w:t>
                                </w:r>
                                <w:r>
                                  <w:rPr>
                                    <w:color w:val="5083C9"/>
                                    <w:sz w:val="32"/>
                                    <w:szCs w:val="32"/>
                                  </w:rPr>
                                  <w:t>2024</w:t>
                                </w:r>
                              </w:p>
                            </w:txbxContent>
                          </wps:txbx>
                          <wps:bodyPr rot="0" vert="horz" wrap="square" lIns="91440" tIns="45720" rIns="91440" bIns="45720" anchor="t" anchorCtr="0"/>
                        </wps:wsp>
                      </wpg:grpSp>
                      <wps:wsp xmlns:wps="http://schemas.microsoft.com/office/word/2010/wordprocessingShape">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rsidR="00677DD4" w:rsidP="00CF1CC7" w14:textId="0C5F3570">
                              <w:pPr>
                                <w:pStyle w:val="BodyText"/>
                                <w:spacing w:after="60"/>
                              </w:pPr>
                              <w:r>
                                <w:t>T</w:t>
                              </w:r>
                              <w:r w:rsidR="00BF5887">
                                <w:t>o prepare for 2024, employers should consider</w:t>
                              </w:r>
                              <w:r w:rsidR="00E3447C">
                                <w:t xml:space="preserve"> taking the following steps:</w:t>
                              </w:r>
                            </w:p>
                            <w:p w:rsidR="00BF5887" w:rsidP="00D677C1" w14:textId="3134A267">
                              <w:pPr>
                                <w:pStyle w:val="BodyText"/>
                                <w:numPr>
                                  <w:ilvl w:val="0"/>
                                  <w:numId w:val="16"/>
                                </w:numPr>
                                <w:spacing w:after="60"/>
                                <w:jc w:val="left"/>
                              </w:pPr>
                              <w:r>
                                <w:t>Confirm</w:t>
                              </w:r>
                              <w:r w:rsidR="0045075C">
                                <w:t xml:space="preserve"> health plan affordability (ALEs only); </w:t>
                              </w:r>
                            </w:p>
                            <w:p w:rsidR="0045075C" w:rsidP="00D677C1" w14:textId="455E035C">
                              <w:pPr>
                                <w:pStyle w:val="BodyText"/>
                                <w:numPr>
                                  <w:ilvl w:val="0"/>
                                  <w:numId w:val="16"/>
                                </w:numPr>
                                <w:spacing w:after="60"/>
                                <w:jc w:val="left"/>
                              </w:pPr>
                              <w:r>
                                <w:t>Updat</w:t>
                              </w:r>
                              <w:r w:rsidR="00BB6B87">
                                <w:t>e</w:t>
                              </w:r>
                              <w:r>
                                <w:t xml:space="preserve"> employee benefit limits; </w:t>
                              </w:r>
                            </w:p>
                            <w:p w:rsidR="0045075C" w:rsidP="00D677C1" w14:textId="04DC2E20">
                              <w:pPr>
                                <w:pStyle w:val="BodyText"/>
                                <w:numPr>
                                  <w:ilvl w:val="0"/>
                                  <w:numId w:val="16"/>
                                </w:numPr>
                                <w:spacing w:after="60"/>
                                <w:jc w:val="left"/>
                              </w:pPr>
                              <w:r>
                                <w:t xml:space="preserve">Prepare to file ACA returns electronically; </w:t>
                              </w:r>
                              <w:r w:rsidR="00D677C1">
                                <w:t>and</w:t>
                              </w:r>
                            </w:p>
                            <w:p w:rsidR="00D677C1" w:rsidP="00D677C1" w14:textId="0DE238C7">
                              <w:pPr>
                                <w:pStyle w:val="BodyText"/>
                                <w:numPr>
                                  <w:ilvl w:val="0"/>
                                  <w:numId w:val="16"/>
                                </w:numPr>
                                <w:spacing w:after="60"/>
                                <w:jc w:val="left"/>
                              </w:pPr>
                              <w:r>
                                <w:t>Update employee communications</w:t>
                              </w:r>
                              <w:r>
                                <w:t>.</w:t>
                              </w:r>
                            </w:p>
                          </w:txbxContent>
                        </wps:txbx>
                        <wps:bodyPr rot="0" vert="horz" wrap="square" lIns="91440" tIns="45720" rIns="91440" bIns="45720" anchor="t" anchorCtr="0"/>
                      </wps:wsp>
                    </wpg:wgp>
                  </a:graphicData>
                </a:graphic>
              </wp:anchor>
            </w:drawing>
          </mc:Choice>
          <mc:Fallback>
            <w:pict>
              <v:group id="Group 10" o:spid="_x0000_s1031" style="width:612pt;height:222.6pt;margin-top:436.97pt;margin-left:0;mso-position-horizontal-relative:page;mso-position-vertical-relative:page;mso-wrap-distance-bottom:0;mso-wrap-distance-left:9pt;mso-wrap-distance-right:9pt;mso-wrap-distance-top:0;position:absolute;z-index:-251655168" coordorigin="0,0" coordsize="21600,21600">
                <v:group id="_x0000_s1032" style="width:21600;height:7316;position:absolute" coordorigin="0,0" coordsize="21600,21600">
                  <v:shape id="_x0000_s1033" type="#_x0000_t75" style="width:21600;height:14209;position:absolute;top:7391">
                    <v:imagedata r:id="rId9" o:title=""/>
                  </v:shape>
                  <v:shape id="_x0000_s1034" type="#_x0000_t202" style="width:6706;height:7434;left:13956;position:absolute;v-text-anchor:top" filled="f" fillcolor="this" stroked="f" strokeweight="0.75pt">
                    <v:textbox>
                      <w:txbxContent>
                        <w:p w:rsidR="00677DD4" w:rsidRPr="00B27C10" w:rsidP="00677DD4" w14:paraId="14AB4DFB" w14:textId="2AD22A93">
                          <w:pPr>
                            <w:pStyle w:val="SubHeader"/>
                            <w:rPr>
                              <w:color w:val="5083C9"/>
                              <w:sz w:val="32"/>
                              <w:szCs w:val="32"/>
                            </w:rPr>
                          </w:pPr>
                          <w:r>
                            <w:rPr>
                              <w:color w:val="5083C9"/>
                              <w:sz w:val="32"/>
                              <w:szCs w:val="32"/>
                            </w:rPr>
                            <w:t xml:space="preserve">Prepare for </w:t>
                          </w:r>
                          <w:r w:rsidR="006E21FB">
                            <w:rPr>
                              <w:color w:val="5083C9"/>
                              <w:sz w:val="32"/>
                              <w:szCs w:val="32"/>
                            </w:rPr>
                            <w:t xml:space="preserve">Start of </w:t>
                          </w:r>
                          <w:r>
                            <w:rPr>
                              <w:color w:val="5083C9"/>
                              <w:sz w:val="32"/>
                              <w:szCs w:val="32"/>
                            </w:rPr>
                            <w:t>2024</w:t>
                          </w:r>
                        </w:p>
                      </w:txbxContent>
                    </v:textbox>
                  </v:shape>
                </v:group>
                <v:shape id="_x0000_s1035" type="#_x0000_t202" style="width:6706;height:18901;left:13978;position:absolute;top:2699;v-text-anchor:top" filled="f" fillcolor="this" stroked="f" strokeweight="0.75pt">
                  <v:textbox>
                    <w:txbxContent>
                      <w:p w:rsidR="00677DD4" w:rsidP="00CF1CC7" w14:paraId="26394694" w14:textId="0C5F3570">
                        <w:pPr>
                          <w:pStyle w:val="BodyText"/>
                          <w:spacing w:after="60"/>
                        </w:pPr>
                        <w:r>
                          <w:t>T</w:t>
                        </w:r>
                        <w:r w:rsidR="00BF5887">
                          <w:t>o prepare for 2024, employers should consider</w:t>
                        </w:r>
                        <w:r w:rsidR="00E3447C">
                          <w:t xml:space="preserve"> taking the following steps:</w:t>
                        </w:r>
                      </w:p>
                      <w:p w:rsidR="00BF5887" w:rsidP="00D677C1" w14:paraId="34BC0961" w14:textId="3134A267">
                        <w:pPr>
                          <w:pStyle w:val="BodyText"/>
                          <w:numPr>
                            <w:ilvl w:val="0"/>
                            <w:numId w:val="16"/>
                          </w:numPr>
                          <w:spacing w:after="60"/>
                          <w:jc w:val="left"/>
                        </w:pPr>
                        <w:r>
                          <w:t>Confirm</w:t>
                        </w:r>
                        <w:r w:rsidR="0045075C">
                          <w:t xml:space="preserve"> health plan affordability (ALEs only); </w:t>
                        </w:r>
                      </w:p>
                      <w:p w:rsidR="0045075C" w:rsidP="00D677C1" w14:paraId="673B151F" w14:textId="455E035C">
                        <w:pPr>
                          <w:pStyle w:val="BodyText"/>
                          <w:numPr>
                            <w:ilvl w:val="0"/>
                            <w:numId w:val="16"/>
                          </w:numPr>
                          <w:spacing w:after="60"/>
                          <w:jc w:val="left"/>
                        </w:pPr>
                        <w:r>
                          <w:t>Updat</w:t>
                        </w:r>
                        <w:r w:rsidR="00BB6B87">
                          <w:t>e</w:t>
                        </w:r>
                        <w:r>
                          <w:t xml:space="preserve"> employee benefit limits; </w:t>
                        </w:r>
                      </w:p>
                      <w:p w:rsidR="0045075C" w:rsidP="00D677C1" w14:paraId="09F1E407" w14:textId="04DC2E20">
                        <w:pPr>
                          <w:pStyle w:val="BodyText"/>
                          <w:numPr>
                            <w:ilvl w:val="0"/>
                            <w:numId w:val="16"/>
                          </w:numPr>
                          <w:spacing w:after="60"/>
                          <w:jc w:val="left"/>
                        </w:pPr>
                        <w:r>
                          <w:t xml:space="preserve">Prepare to file ACA returns electronically; </w:t>
                        </w:r>
                        <w:r w:rsidR="00D677C1">
                          <w:t>and</w:t>
                        </w:r>
                      </w:p>
                      <w:p w:rsidR="00D677C1" w:rsidP="00D677C1" w14:paraId="4F480F8F" w14:textId="0DE238C7">
                        <w:pPr>
                          <w:pStyle w:val="BodyText"/>
                          <w:numPr>
                            <w:ilvl w:val="0"/>
                            <w:numId w:val="16"/>
                          </w:numPr>
                          <w:spacing w:after="60"/>
                          <w:jc w:val="left"/>
                        </w:pPr>
                        <w:r>
                          <w:t>Update employee communications</w:t>
                        </w:r>
                        <w:r>
                          <w:t>.</w:t>
                        </w:r>
                      </w:p>
                    </w:txbxContent>
                  </v:textbox>
                </v:shape>
              </v:group>
            </w:pict>
          </mc:Fallback>
        </mc:AlternateContent>
      </w:r>
      <w:r w:rsidR="000847AD">
        <w:rPr>
          <w:noProof/>
        </w:rPr>
        <mc:AlternateContent>
          <mc:Choice Requires="wps">
            <w:drawing>
              <wp:anchor distT="0" distB="0" distL="114300" distR="114300" simplePos="0" relativeHeight="251660288" behindDoc="0" locked="0" layoutInCell="1" allowOverlap="1">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xmlns:wps="http://schemas.microsoft.com/office/word/2010/wordprocessingShape">
                      <wps:cNvSpPr txBox="1"/>
                      <wps:spPr>
                        <a:xfrm>
                          <a:off x="0" y="0"/>
                          <a:ext cx="4344670" cy="594995"/>
                        </a:xfrm>
                        <a:prstGeom prst="rect">
                          <a:avLst/>
                        </a:prstGeom>
                        <a:noFill/>
                        <a:ln w="6350">
                          <a:noFill/>
                        </a:ln>
                        <a:effectLst/>
                      </wps:spPr>
                      <wps:txbx>
                        <w:txbxContent>
                          <w:p w:rsidR="00E6115F" w:rsidRPr="000847AD" w:rsidP="00E6115F" w14:textId="77777777">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 xml:space="preserve">Fusco Orsini &amp; Associates Insurance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width:342.1pt;height:46.85pt;margin-top:471.35pt;margin-left:-7.75pt;mso-height-percent:0;mso-height-relative:margin;mso-position-horizontal-relative:margin;mso-position-vertical-relative:margin;mso-width-percent:0;mso-width-relative:margin;mso-wrap-distance-bottom:0;mso-wrap-distance-left:9pt;mso-wrap-distance-right:9pt;mso-wrap-distance-top:0;position:absolute;v-text-anchor:top;z-index:251659264" filled="f" fillcolor="this" stroked="f" strokeweight="0.5pt">
                <v:textbox>
                  <w:txbxContent>
                    <w:p w:rsidR="00E6115F" w:rsidRPr="000847AD" w:rsidP="00E6115F" w14:paraId="2F530260" w14:textId="77777777">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 xml:space="preserve">Fusco Orsini &amp; Associates Insurance Services </w:t>
                      </w:r>
                    </w:p>
                  </w:txbxContent>
                </v:textbox>
                <w10:wrap anchorx="margin" anchory="margin"/>
              </v:shape>
            </w:pict>
          </mc:Fallback>
        </mc:AlternateContent>
      </w:r>
    </w:p>
    <w:p w:rsidR="005C46C0" w:rsidRPr="002C2D44" w:rsidP="002C2D44" w14:paraId="18C7995D" w14:textId="004846EE">
      <w:pPr>
        <w:pStyle w:val="MainTitle"/>
        <w:rPr>
          <w:sz w:val="36"/>
          <w:szCs w:val="36"/>
        </w:rPr>
      </w:pPr>
      <w:r>
        <w:rPr>
          <w:sz w:val="36"/>
          <w:szCs w:val="36"/>
        </w:rPr>
        <w:t>Year-end</w:t>
      </w:r>
      <w:r w:rsidRPr="002C2D44">
        <w:rPr>
          <w:sz w:val="36"/>
          <w:szCs w:val="36"/>
        </w:rPr>
        <w:t xml:space="preserve"> Checklist</w:t>
      </w:r>
      <w:r>
        <w:rPr>
          <w:sz w:val="36"/>
          <w:szCs w:val="36"/>
        </w:rPr>
        <w:t xml:space="preserve"> (2023)</w:t>
      </w:r>
    </w:p>
    <w:tbl>
      <w:tblPr>
        <w:tblStyle w:val="TableGrid"/>
        <w:tblW w:w="0" w:type="auto"/>
        <w:tblBorders>
          <w:top w:val="single" w:sz="4" w:space="0" w:color="5083C9"/>
          <w:left w:val="single" w:sz="4" w:space="0" w:color="5083C9"/>
          <w:bottom w:val="single" w:sz="4" w:space="0" w:color="5083C9"/>
          <w:right w:val="single" w:sz="4" w:space="0" w:color="5083C9"/>
          <w:insideH w:val="single" w:sz="4" w:space="0" w:color="5083C9"/>
          <w:insideV w:val="single" w:sz="4" w:space="0" w:color="5083C9"/>
        </w:tblBorders>
        <w:tblLook w:val="04A0"/>
      </w:tblPr>
      <w:tblGrid>
        <w:gridCol w:w="1793"/>
        <w:gridCol w:w="3779"/>
        <w:gridCol w:w="2609"/>
        <w:gridCol w:w="132"/>
        <w:gridCol w:w="2477"/>
      </w:tblGrid>
      <w:tr w14:paraId="4D832215" w14:textId="77777777" w:rsidTr="00F211CA">
        <w:tblPrEx>
          <w:tblW w:w="0" w:type="auto"/>
          <w:tblBorders>
            <w:top w:val="single" w:sz="4" w:space="0" w:color="5083C9"/>
            <w:left w:val="single" w:sz="4" w:space="0" w:color="5083C9"/>
            <w:bottom w:val="single" w:sz="4" w:space="0" w:color="5083C9"/>
            <w:right w:val="single" w:sz="4" w:space="0" w:color="5083C9"/>
            <w:insideH w:val="single" w:sz="4" w:space="0" w:color="5083C9"/>
            <w:insideV w:val="single" w:sz="4" w:space="0" w:color="5083C9"/>
          </w:tblBorders>
          <w:tblLook w:val="04A0"/>
        </w:tblPrEx>
        <w:trPr>
          <w:tblHeader/>
        </w:trPr>
        <w:tc>
          <w:tcPr>
            <w:tcW w:w="1794" w:type="dxa"/>
            <w:shd w:val="clear" w:color="auto" w:fill="5083C9"/>
            <w:vAlign w:val="center"/>
          </w:tcPr>
          <w:p w:rsidR="00FE2DAD" w:rsidRPr="004A1834" w:rsidP="00B02438" w14:paraId="1D50060B" w14:textId="77777777">
            <w:pPr>
              <w:pStyle w:val="BodyText"/>
              <w:spacing w:before="60" w:after="0"/>
              <w:jc w:val="center"/>
              <w:rPr>
                <w:b/>
                <w:bCs/>
                <w:color w:val="FFFFFF" w:themeColor="background1"/>
                <w:sz w:val="24"/>
                <w:szCs w:val="24"/>
              </w:rPr>
            </w:pPr>
            <w:r w:rsidRPr="004A1834">
              <w:rPr>
                <w:b/>
                <w:bCs/>
                <w:color w:val="FFFFFF" w:themeColor="background1"/>
                <w:sz w:val="24"/>
                <w:szCs w:val="24"/>
              </w:rPr>
              <w:t>Complete</w:t>
            </w:r>
          </w:p>
          <w:p w:rsidR="00495DD0" w:rsidRPr="004A1834" w:rsidP="00B02438" w14:paraId="3F0197E6" w14:textId="5214D04B">
            <w:pPr>
              <w:pStyle w:val="BodyText"/>
              <w:spacing w:after="60"/>
              <w:jc w:val="center"/>
              <w:rPr>
                <w:b/>
                <w:bCs/>
                <w:color w:val="FFFFFF" w:themeColor="background1"/>
                <w:sz w:val="24"/>
                <w:szCs w:val="24"/>
              </w:rPr>
            </w:pPr>
            <w:r w:rsidRPr="004A1834">
              <w:rPr>
                <w:b/>
                <w:bCs/>
                <w:color w:val="FFFFFF" w:themeColor="background1"/>
                <w:sz w:val="24"/>
                <w:szCs w:val="24"/>
              </w:rPr>
              <w:t>(or N</w:t>
            </w:r>
            <w:r w:rsidRPr="004A1834" w:rsidR="009C444A">
              <w:rPr>
                <w:b/>
                <w:bCs/>
                <w:color w:val="FFFFFF" w:themeColor="background1"/>
                <w:sz w:val="24"/>
                <w:szCs w:val="24"/>
              </w:rPr>
              <w:t>/A</w:t>
            </w:r>
            <w:r w:rsidRPr="004A1834">
              <w:rPr>
                <w:b/>
                <w:bCs/>
                <w:color w:val="FFFFFF" w:themeColor="background1"/>
                <w:sz w:val="24"/>
                <w:szCs w:val="24"/>
              </w:rPr>
              <w:t>)</w:t>
            </w:r>
          </w:p>
        </w:tc>
        <w:tc>
          <w:tcPr>
            <w:tcW w:w="8996" w:type="dxa"/>
            <w:gridSpan w:val="4"/>
            <w:shd w:val="clear" w:color="auto" w:fill="5083C9"/>
            <w:vAlign w:val="center"/>
          </w:tcPr>
          <w:p w:rsidR="00FE2DAD" w:rsidRPr="004A1834" w:rsidP="002C2D44" w14:paraId="3B2D2221" w14:textId="411EEB07">
            <w:pPr>
              <w:pStyle w:val="BodyText"/>
              <w:spacing w:before="60" w:after="60"/>
              <w:jc w:val="center"/>
              <w:rPr>
                <w:b/>
                <w:bCs/>
                <w:color w:val="FFFFFF" w:themeColor="background1"/>
                <w:sz w:val="24"/>
                <w:szCs w:val="24"/>
              </w:rPr>
            </w:pPr>
            <w:r w:rsidRPr="004A1834">
              <w:rPr>
                <w:b/>
                <w:bCs/>
                <w:color w:val="FFFFFF" w:themeColor="background1"/>
                <w:sz w:val="24"/>
                <w:szCs w:val="24"/>
              </w:rPr>
              <w:t>Requirement</w:t>
            </w:r>
          </w:p>
        </w:tc>
      </w:tr>
      <w:tr w14:paraId="3480674E" w14:textId="77777777" w:rsidTr="00FA63A0">
        <w:tblPrEx>
          <w:tblW w:w="0" w:type="auto"/>
          <w:tblLook w:val="04A0"/>
        </w:tblPrEx>
        <w:sdt>
          <w:sdtPr>
            <w:rPr>
              <w:b w:val="0"/>
              <w:bCs/>
              <w:sz w:val="32"/>
              <w:szCs w:val="32"/>
            </w:rPr>
            <w:id w:val="-402072422"/>
            <w14:checkbox>
              <w14:checked w14:val="0"/>
              <w14:checkedState w14:val="2612" w14:font="MS Gothic"/>
              <w14:uncheckedState w14:val="2610" w14:font="MS Gothic"/>
            </w14:checkbox>
          </w:sdtPr>
          <w:sdtContent>
            <w:tc>
              <w:tcPr>
                <w:tcW w:w="1794" w:type="dxa"/>
                <w:vAlign w:val="center"/>
              </w:tcPr>
              <w:p w:rsidR="001B60A7" w:rsidRPr="001B60A7" w:rsidP="002C2D44" w14:paraId="269918FB" w14:textId="591C5B00">
                <w:pPr>
                  <w:pStyle w:val="SubHeader"/>
                  <w:spacing w:before="60" w:after="60"/>
                  <w:jc w:val="center"/>
                  <w:rPr>
                    <w:b w:val="0"/>
                    <w:bCs/>
                  </w:rPr>
                </w:pPr>
                <w:r>
                  <w:rPr>
                    <w:rFonts w:ascii="MS Gothic" w:eastAsia="MS Gothic" w:hAnsi="MS Gothic" w:hint="eastAsia"/>
                    <w:b w:val="0"/>
                    <w:bCs/>
                    <w:sz w:val="32"/>
                    <w:szCs w:val="32"/>
                  </w:rPr>
                  <w:t>☐</w:t>
                </w:r>
              </w:p>
            </w:tc>
          </w:sdtContent>
        </w:sdt>
        <w:tc>
          <w:tcPr>
            <w:tcW w:w="8996" w:type="dxa"/>
            <w:gridSpan w:val="4"/>
          </w:tcPr>
          <w:p w:rsidR="001B60A7" w:rsidRPr="00E67C4B" w:rsidP="002C2D44" w14:paraId="4EB33C34" w14:textId="77777777">
            <w:pPr>
              <w:pStyle w:val="BodyText"/>
              <w:spacing w:before="60" w:after="60"/>
              <w:rPr>
                <w:b/>
                <w:bCs/>
                <w:szCs w:val="22"/>
              </w:rPr>
            </w:pPr>
            <w:r w:rsidRPr="00E67C4B">
              <w:rPr>
                <w:b/>
                <w:bCs/>
                <w:color w:val="5083C9"/>
                <w:szCs w:val="22"/>
              </w:rPr>
              <w:t>Submit gag clause attestation by Dec. 31, 2023</w:t>
            </w:r>
          </w:p>
          <w:p w:rsidR="001B60A7" w:rsidP="000A38B2" w14:paraId="5A601E89" w14:textId="6075FAA4">
            <w:pPr>
              <w:pStyle w:val="BodyText"/>
              <w:spacing w:before="60" w:after="60"/>
            </w:pPr>
            <w:r>
              <w:t>Health p</w:t>
            </w:r>
            <w:r w:rsidRPr="007623EB">
              <w:t xml:space="preserve">lans and </w:t>
            </w:r>
            <w:r>
              <w:t xml:space="preserve">health insurance </w:t>
            </w:r>
            <w:r w:rsidRPr="007623EB">
              <w:t xml:space="preserve">issuers must annually submit an </w:t>
            </w:r>
            <w:hyperlink r:id="rId12" w:history="1">
              <w:r w:rsidRPr="00C83E62">
                <w:rPr>
                  <w:rStyle w:val="Hyperlink"/>
                </w:rPr>
                <w:t>attestation of compliance</w:t>
              </w:r>
            </w:hyperlink>
            <w:r w:rsidRPr="007623EB">
              <w:t xml:space="preserve"> with the </w:t>
            </w:r>
            <w:r w:rsidR="00B02438">
              <w:t xml:space="preserve">federal prohibition on </w:t>
            </w:r>
            <w:r w:rsidRPr="007623EB">
              <w:t>gag clause</w:t>
            </w:r>
            <w:r w:rsidR="00B02438">
              <w:t xml:space="preserve">s. </w:t>
            </w:r>
            <w:r w:rsidRPr="007623EB">
              <w:t xml:space="preserve">The first gag clause attestation is due by </w:t>
            </w:r>
            <w:r w:rsidRPr="008B669B">
              <w:rPr>
                <w:b/>
                <w:bCs/>
              </w:rPr>
              <w:t>Dec. 31, 2023</w:t>
            </w:r>
            <w:r w:rsidRPr="007623EB">
              <w:t>.</w:t>
            </w:r>
            <w:r w:rsidR="009B1FB2">
              <w:t xml:space="preserve"> </w:t>
            </w:r>
            <w:r>
              <w:t xml:space="preserve">If the issuer for a fully insured health plan provides the attestation, an employer does not also need to provide an attestation for the plan. Self-insured employers can enter into written agreements with their TPAs to provide the attestation, but the legal responsibility remains with the health plan.  </w:t>
            </w:r>
          </w:p>
        </w:tc>
      </w:tr>
      <w:tr w14:paraId="32A49F62" w14:textId="77777777" w:rsidTr="00FA63A0">
        <w:tblPrEx>
          <w:tblW w:w="0" w:type="auto"/>
          <w:tblLook w:val="04A0"/>
        </w:tblPrEx>
        <w:sdt>
          <w:sdtPr>
            <w:rPr>
              <w:b w:val="0"/>
              <w:bCs/>
              <w:sz w:val="32"/>
              <w:szCs w:val="32"/>
            </w:rPr>
            <w:id w:val="-908540629"/>
            <w14:checkbox>
              <w14:checked w14:val="0"/>
              <w14:checkedState w14:val="2612" w14:font="MS Gothic"/>
              <w14:uncheckedState w14:val="2610" w14:font="MS Gothic"/>
            </w14:checkbox>
          </w:sdtPr>
          <w:sdtContent>
            <w:tc>
              <w:tcPr>
                <w:tcW w:w="1794" w:type="dxa"/>
                <w:vAlign w:val="center"/>
              </w:tcPr>
              <w:p w:rsidR="00D81716" w:rsidP="002C2D44" w14:paraId="0D1C4C2C" w14:textId="22D68DE6">
                <w:pPr>
                  <w:pStyle w:val="SubHeader"/>
                  <w:spacing w:before="60" w:after="60"/>
                  <w:jc w:val="center"/>
                  <w:rPr>
                    <w:b w:val="0"/>
                    <w:bCs/>
                    <w:sz w:val="32"/>
                    <w:szCs w:val="32"/>
                  </w:rPr>
                </w:pPr>
                <w:r>
                  <w:rPr>
                    <w:rFonts w:ascii="MS Gothic" w:eastAsia="MS Gothic" w:hAnsi="MS Gothic" w:hint="eastAsia"/>
                    <w:b w:val="0"/>
                    <w:bCs/>
                    <w:sz w:val="32"/>
                    <w:szCs w:val="32"/>
                  </w:rPr>
                  <w:t>☐</w:t>
                </w:r>
              </w:p>
            </w:tc>
          </w:sdtContent>
        </w:sdt>
        <w:tc>
          <w:tcPr>
            <w:tcW w:w="8996" w:type="dxa"/>
            <w:gridSpan w:val="4"/>
          </w:tcPr>
          <w:p w:rsidR="00D81716" w:rsidP="00D81716" w14:paraId="544123E1" w14:textId="3C029C55">
            <w:pPr>
              <w:pStyle w:val="BodyText"/>
              <w:spacing w:before="60" w:after="60"/>
              <w:rPr>
                <w:b/>
                <w:bCs/>
                <w:color w:val="5083C9"/>
              </w:rPr>
            </w:pPr>
            <w:r>
              <w:rPr>
                <w:b/>
                <w:bCs/>
                <w:color w:val="5083C9"/>
              </w:rPr>
              <w:t>Confirm annual notices have been provided</w:t>
            </w:r>
            <w:r w:rsidR="00B707C1">
              <w:rPr>
                <w:b/>
                <w:bCs/>
                <w:color w:val="5083C9"/>
              </w:rPr>
              <w:t>, including CHIP and WHCRA notice</w:t>
            </w:r>
            <w:r w:rsidR="00ED50C7">
              <w:rPr>
                <w:b/>
                <w:bCs/>
                <w:color w:val="5083C9"/>
              </w:rPr>
              <w:t>s</w:t>
            </w:r>
          </w:p>
          <w:p w:rsidR="00D81716" w:rsidRPr="00E67C4B" w:rsidP="00D81716" w14:paraId="11A2EE82" w14:textId="76F6876B">
            <w:pPr>
              <w:pStyle w:val="BodyText"/>
              <w:spacing w:before="60" w:after="60"/>
              <w:rPr>
                <w:b/>
                <w:bCs/>
                <w:color w:val="5083C9"/>
                <w:szCs w:val="22"/>
              </w:rPr>
            </w:pPr>
            <w:r>
              <w:t xml:space="preserve">Many health plan notices are required to be provided at certain times during the </w:t>
            </w:r>
            <w:r w:rsidR="00B465E2">
              <w:t>year;</w:t>
            </w:r>
            <w:r w:rsidR="00183968">
              <w:t xml:space="preserve"> for example, </w:t>
            </w:r>
            <w:r>
              <w:t xml:space="preserve">Medicare Part D </w:t>
            </w:r>
            <w:r w:rsidR="00267DCB">
              <w:t xml:space="preserve">creditable coverage </w:t>
            </w:r>
            <w:r>
              <w:t>notices must be provided by Oct. 14 each year. However, certain annual notices can be provided at any time during the year, such as the annual CHIP notice or Women’s Health and Cancer Rights Act (WHCRA) notice for health plans.</w:t>
            </w:r>
          </w:p>
        </w:tc>
      </w:tr>
      <w:tr w14:paraId="1747C4F1" w14:textId="77777777" w:rsidTr="00FA63A0">
        <w:tblPrEx>
          <w:tblW w:w="0" w:type="auto"/>
          <w:tblLook w:val="04A0"/>
        </w:tblPrEx>
        <w:sdt>
          <w:sdtPr>
            <w:rPr>
              <w:b w:val="0"/>
              <w:bCs/>
              <w:sz w:val="32"/>
              <w:szCs w:val="32"/>
            </w:rPr>
            <w:id w:val="-718898135"/>
            <w14:checkbox>
              <w14:checked w14:val="0"/>
              <w14:checkedState w14:val="2612" w14:font="MS Gothic"/>
              <w14:uncheckedState w14:val="2610" w14:font="MS Gothic"/>
            </w14:checkbox>
          </w:sdtPr>
          <w:sdtContent>
            <w:tc>
              <w:tcPr>
                <w:tcW w:w="1794" w:type="dxa"/>
                <w:vAlign w:val="center"/>
              </w:tcPr>
              <w:p w:rsidR="00D81716" w:rsidP="002C2D44" w14:paraId="3A42D4DF" w14:textId="30FC8278">
                <w:pPr>
                  <w:pStyle w:val="SubHeader"/>
                  <w:spacing w:before="60" w:after="60"/>
                  <w:jc w:val="center"/>
                  <w:rPr>
                    <w:b w:val="0"/>
                    <w:bCs/>
                    <w:sz w:val="32"/>
                    <w:szCs w:val="32"/>
                  </w:rPr>
                </w:pPr>
                <w:r>
                  <w:rPr>
                    <w:rFonts w:ascii="MS Gothic" w:eastAsia="MS Gothic" w:hAnsi="MS Gothic" w:hint="eastAsia"/>
                    <w:b w:val="0"/>
                    <w:bCs/>
                    <w:sz w:val="32"/>
                    <w:szCs w:val="32"/>
                  </w:rPr>
                  <w:t>☐</w:t>
                </w:r>
              </w:p>
            </w:tc>
          </w:sdtContent>
        </w:sdt>
        <w:tc>
          <w:tcPr>
            <w:tcW w:w="8996" w:type="dxa"/>
            <w:gridSpan w:val="4"/>
          </w:tcPr>
          <w:p w:rsidR="00ED50C7" w:rsidRPr="00267DCB" w:rsidP="00ED50C7" w14:paraId="000E3F52" w14:textId="77777777">
            <w:pPr>
              <w:pStyle w:val="BodyText"/>
              <w:spacing w:before="60" w:after="60"/>
              <w:rPr>
                <w:b/>
                <w:bCs/>
                <w:color w:val="5083C9"/>
                <w:szCs w:val="22"/>
              </w:rPr>
            </w:pPr>
            <w:r w:rsidRPr="00267DCB">
              <w:rPr>
                <w:b/>
                <w:bCs/>
                <w:color w:val="5083C9"/>
                <w:szCs w:val="22"/>
              </w:rPr>
              <w:t>Amend plan documents for changes made in 2023</w:t>
            </w:r>
          </w:p>
          <w:p w:rsidR="00D81716" w:rsidRPr="00E67C4B" w:rsidP="00ED50C7" w14:paraId="30ED3645" w14:textId="447521B6">
            <w:pPr>
              <w:pStyle w:val="BodyText"/>
              <w:spacing w:before="60" w:after="60"/>
              <w:rPr>
                <w:b/>
                <w:bCs/>
                <w:color w:val="5083C9"/>
                <w:szCs w:val="22"/>
              </w:rPr>
            </w:pPr>
            <w:r>
              <w:t xml:space="preserve">In general, employers </w:t>
            </w:r>
            <w:r w:rsidR="0000176E">
              <w:t xml:space="preserve">that </w:t>
            </w:r>
            <w:r>
              <w:t>make discretionary changes to the design of their employee benefit plans for plan years beginning in 2023 should update their official plan documents, if necessary, to include the changes by the end of the year.</w:t>
            </w:r>
          </w:p>
        </w:tc>
      </w:tr>
      <w:tr w14:paraId="13581F3B" w14:textId="77777777" w:rsidTr="00FA63A0">
        <w:tblPrEx>
          <w:tblW w:w="0" w:type="auto"/>
          <w:tblLook w:val="04A0"/>
        </w:tblPrEx>
        <w:sdt>
          <w:sdtPr>
            <w:rPr>
              <w:b w:val="0"/>
              <w:bCs/>
              <w:sz w:val="32"/>
              <w:szCs w:val="32"/>
            </w:rPr>
            <w:id w:val="1949196196"/>
            <w14:checkbox>
              <w14:checked w14:val="0"/>
              <w14:checkedState w14:val="2612" w14:font="MS Gothic"/>
              <w14:uncheckedState w14:val="2610" w14:font="MS Gothic"/>
            </w14:checkbox>
          </w:sdtPr>
          <w:sdtContent>
            <w:tc>
              <w:tcPr>
                <w:tcW w:w="1794" w:type="dxa"/>
                <w:vAlign w:val="center"/>
              </w:tcPr>
              <w:p w:rsidR="00D81716" w:rsidP="002C2D44" w14:paraId="16CBDB2B" w14:textId="657371CD">
                <w:pPr>
                  <w:pStyle w:val="SubHeader"/>
                  <w:spacing w:before="60" w:after="60"/>
                  <w:jc w:val="center"/>
                  <w:rPr>
                    <w:b w:val="0"/>
                    <w:bCs/>
                    <w:sz w:val="32"/>
                    <w:szCs w:val="32"/>
                  </w:rPr>
                </w:pPr>
                <w:r>
                  <w:rPr>
                    <w:rFonts w:ascii="MS Gothic" w:eastAsia="MS Gothic" w:hAnsi="MS Gothic" w:hint="eastAsia"/>
                    <w:b w:val="0"/>
                    <w:bCs/>
                    <w:sz w:val="32"/>
                    <w:szCs w:val="32"/>
                  </w:rPr>
                  <w:t>☐</w:t>
                </w:r>
              </w:p>
            </w:tc>
          </w:sdtContent>
        </w:sdt>
        <w:tc>
          <w:tcPr>
            <w:tcW w:w="8996" w:type="dxa"/>
            <w:gridSpan w:val="4"/>
          </w:tcPr>
          <w:p w:rsidR="00ED50C7" w:rsidRPr="00F57825" w:rsidP="00ED50C7" w14:paraId="61CA5BCA" w14:textId="71CE369D">
            <w:pPr>
              <w:pStyle w:val="BodyText"/>
              <w:spacing w:before="60" w:after="60"/>
              <w:rPr>
                <w:b/>
                <w:bCs/>
                <w:color w:val="5083C9"/>
                <w:szCs w:val="22"/>
              </w:rPr>
            </w:pPr>
            <w:r w:rsidRPr="00F57825">
              <w:rPr>
                <w:b/>
                <w:bCs/>
                <w:color w:val="5083C9"/>
                <w:szCs w:val="22"/>
              </w:rPr>
              <w:t>Remind employees about what happens to unused funds in their health FSAs, HRAs or dependent care FSAs at the end of the year</w:t>
            </w:r>
          </w:p>
          <w:p w:rsidR="00D81716" w:rsidRPr="00E67C4B" w:rsidP="00ED50C7" w14:paraId="25A3AE08" w14:textId="2E45B619">
            <w:pPr>
              <w:pStyle w:val="BodyText"/>
              <w:spacing w:before="60" w:after="60"/>
              <w:rPr>
                <w:b/>
                <w:bCs/>
                <w:color w:val="5083C9"/>
                <w:szCs w:val="22"/>
              </w:rPr>
            </w:pPr>
            <w:r w:rsidRPr="00E57C43">
              <w:t>Encourage employees to use their unspent balances in these accounts, especially if unused funds are forfeited at the end of 202</w:t>
            </w:r>
            <w:r>
              <w:t xml:space="preserve">3. Also, remind employees about the deadlines for submitting claims for the year, including any runout period, as well as any grace periods for using unspent funds or permissible carryovers. If a health FSA or HRA allows unused funds to be carried over to the </w:t>
            </w:r>
            <w:r w:rsidR="00354A7B">
              <w:t xml:space="preserve">following </w:t>
            </w:r>
            <w:r>
              <w:t xml:space="preserve">year, remind employees about any caps on carryover amounts.  </w:t>
            </w:r>
          </w:p>
        </w:tc>
      </w:tr>
      <w:tr w14:paraId="6690222D" w14:textId="77777777" w:rsidTr="00FA63A0">
        <w:tblPrEx>
          <w:tblW w:w="0" w:type="auto"/>
          <w:tblLook w:val="04A0"/>
        </w:tblPrEx>
        <w:sdt>
          <w:sdtPr>
            <w:rPr>
              <w:b w:val="0"/>
              <w:bCs/>
              <w:sz w:val="32"/>
              <w:szCs w:val="32"/>
            </w:rPr>
            <w:id w:val="1732274865"/>
            <w14:checkbox>
              <w14:checked w14:val="0"/>
              <w14:checkedState w14:val="2612" w14:font="MS Gothic"/>
              <w14:uncheckedState w14:val="2610" w14:font="MS Gothic"/>
            </w14:checkbox>
          </w:sdtPr>
          <w:sdtContent>
            <w:tc>
              <w:tcPr>
                <w:tcW w:w="1794" w:type="dxa"/>
                <w:vAlign w:val="center"/>
              </w:tcPr>
              <w:p w:rsidR="00ED50C7" w:rsidP="00ED50C7" w14:paraId="072C4139" w14:textId="6EC247D2">
                <w:pPr>
                  <w:pStyle w:val="SubHeader"/>
                  <w:spacing w:before="60" w:after="60"/>
                  <w:jc w:val="center"/>
                  <w:rPr>
                    <w:b w:val="0"/>
                    <w:bCs/>
                    <w:sz w:val="32"/>
                    <w:szCs w:val="32"/>
                  </w:rPr>
                </w:pPr>
                <w:r>
                  <w:rPr>
                    <w:rFonts w:ascii="MS Gothic" w:eastAsia="MS Gothic" w:hAnsi="MS Gothic" w:hint="eastAsia"/>
                    <w:b w:val="0"/>
                    <w:bCs/>
                    <w:sz w:val="32"/>
                    <w:szCs w:val="32"/>
                  </w:rPr>
                  <w:t>☐</w:t>
                </w:r>
              </w:p>
            </w:tc>
          </w:sdtContent>
        </w:sdt>
        <w:tc>
          <w:tcPr>
            <w:tcW w:w="8996" w:type="dxa"/>
            <w:gridSpan w:val="4"/>
          </w:tcPr>
          <w:p w:rsidR="00ED50C7" w:rsidRPr="00834BB4" w:rsidP="00ED50C7" w14:paraId="424D73D0" w14:textId="5D2D7B27">
            <w:pPr>
              <w:pStyle w:val="BodyText"/>
              <w:spacing w:before="60" w:after="60"/>
              <w:rPr>
                <w:b/>
                <w:bCs/>
                <w:color w:val="5083C9"/>
                <w:szCs w:val="22"/>
              </w:rPr>
            </w:pPr>
            <w:r w:rsidRPr="00834BB4">
              <w:rPr>
                <w:b/>
                <w:bCs/>
                <w:color w:val="5083C9"/>
                <w:szCs w:val="22"/>
              </w:rPr>
              <w:t xml:space="preserve">Complete nondiscrimination testing </w:t>
            </w:r>
          </w:p>
          <w:p w:rsidR="00ED50C7" w:rsidRPr="00E67C4B" w:rsidP="00ED50C7" w14:paraId="47CEE0BA" w14:textId="648DAAEC">
            <w:pPr>
              <w:pStyle w:val="BodyText"/>
              <w:spacing w:before="60" w:after="60"/>
              <w:rPr>
                <w:b/>
                <w:bCs/>
                <w:color w:val="5083C9"/>
                <w:szCs w:val="22"/>
              </w:rPr>
            </w:pPr>
            <w:r w:rsidRPr="00AB48BF">
              <w:t>Co</w:t>
            </w:r>
            <w:r w:rsidR="00AB0B57">
              <w:t>mplete</w:t>
            </w:r>
            <w:r w:rsidRPr="00AB48BF">
              <w:t xml:space="preserve"> annual nondiscrimination testing </w:t>
            </w:r>
            <w:r w:rsidR="00AB0B57">
              <w:t>f</w:t>
            </w:r>
            <w:r w:rsidRPr="00AB48BF">
              <w:t>or employee benefit plans that are subject to these testing requirements, including Section 125 cafeteria plans, self-insured health plans, health FSAs, dependent care FSAs, HRAs, group term life insurance and retirement plans.</w:t>
            </w:r>
          </w:p>
        </w:tc>
      </w:tr>
      <w:tr w14:paraId="5D4D076A" w14:textId="77777777" w:rsidTr="00FA63A0">
        <w:tblPrEx>
          <w:tblW w:w="0" w:type="auto"/>
          <w:tblLook w:val="04A0"/>
        </w:tblPrEx>
        <w:sdt>
          <w:sdtPr>
            <w:rPr>
              <w:b w:val="0"/>
              <w:bCs/>
              <w:sz w:val="32"/>
              <w:szCs w:val="32"/>
            </w:rPr>
            <w:id w:val="197127326"/>
            <w14:checkbox>
              <w14:checked w14:val="0"/>
              <w14:checkedState w14:val="2612" w14:font="MS Gothic"/>
              <w14:uncheckedState w14:val="2610" w14:font="MS Gothic"/>
            </w14:checkbox>
          </w:sdtPr>
          <w:sdtContent>
            <w:tc>
              <w:tcPr>
                <w:tcW w:w="1794" w:type="dxa"/>
                <w:vAlign w:val="center"/>
              </w:tcPr>
              <w:p w:rsidR="00ED50C7" w:rsidP="00ED50C7" w14:paraId="3D07E6A4" w14:textId="7F2CBB46">
                <w:pPr>
                  <w:pStyle w:val="SubHeader"/>
                  <w:spacing w:before="60" w:after="60"/>
                  <w:jc w:val="center"/>
                </w:pPr>
                <w:r>
                  <w:rPr>
                    <w:rFonts w:ascii="MS Gothic" w:eastAsia="MS Gothic" w:hAnsi="MS Gothic" w:hint="eastAsia"/>
                    <w:b w:val="0"/>
                    <w:bCs/>
                    <w:sz w:val="32"/>
                    <w:szCs w:val="32"/>
                  </w:rPr>
                  <w:t>☐</w:t>
                </w:r>
              </w:p>
            </w:tc>
          </w:sdtContent>
        </w:sdt>
        <w:tc>
          <w:tcPr>
            <w:tcW w:w="8996" w:type="dxa"/>
            <w:gridSpan w:val="4"/>
          </w:tcPr>
          <w:p w:rsidR="00ED50C7" w:rsidRPr="00E67C4B" w:rsidP="00ED50C7" w14:paraId="1C1EC4F9" w14:textId="1E0A742E">
            <w:pPr>
              <w:pStyle w:val="BodyText"/>
              <w:spacing w:before="60" w:after="60"/>
              <w:rPr>
                <w:b/>
                <w:bCs/>
                <w:i/>
                <w:iCs/>
                <w:color w:val="5083C9"/>
                <w:szCs w:val="22"/>
              </w:rPr>
            </w:pPr>
            <w:r>
              <w:rPr>
                <w:b/>
                <w:bCs/>
                <w:color w:val="5083C9"/>
                <w:szCs w:val="22"/>
              </w:rPr>
              <w:t>Ensure</w:t>
            </w:r>
            <w:r w:rsidRPr="00E67C4B">
              <w:rPr>
                <w:b/>
                <w:bCs/>
                <w:color w:val="5083C9"/>
                <w:szCs w:val="22"/>
              </w:rPr>
              <w:t xml:space="preserve"> your health plan coverage will meet the ACA’s affordability requirement for 2024 </w:t>
            </w:r>
            <w:r w:rsidR="002665AB">
              <w:rPr>
                <w:b/>
                <w:bCs/>
                <w:color w:val="5083C9"/>
                <w:szCs w:val="22"/>
              </w:rPr>
              <w:t>(</w:t>
            </w:r>
            <w:r w:rsidRPr="00E67C4B">
              <w:rPr>
                <w:b/>
                <w:bCs/>
                <w:i/>
                <w:iCs/>
                <w:color w:val="5083C9"/>
                <w:szCs w:val="22"/>
              </w:rPr>
              <w:t xml:space="preserve">ALEs only). </w:t>
            </w:r>
          </w:p>
          <w:p w:rsidR="0000176E" w:rsidP="00ED50C7" w14:paraId="6AC8B2F1" w14:textId="77777777">
            <w:pPr>
              <w:pStyle w:val="BodyText"/>
              <w:spacing w:before="60" w:after="60"/>
            </w:pPr>
            <w:r w:rsidRPr="003F33DD">
              <w:t xml:space="preserve">Under the ACA’s employer mandate rules, ALEs </w:t>
            </w:r>
            <w:r>
              <w:t xml:space="preserve">must </w:t>
            </w:r>
            <w:r w:rsidRPr="003F33DD">
              <w:t xml:space="preserve">offer affordable, minimum value </w:t>
            </w:r>
            <w:r>
              <w:t xml:space="preserve">(MV) </w:t>
            </w:r>
            <w:r w:rsidRPr="003F33DD">
              <w:t>health coverage to their full-time employees</w:t>
            </w:r>
            <w:r>
              <w:t xml:space="preserve"> to avoid penalties. </w:t>
            </w:r>
            <w:r w:rsidRPr="00D51A03">
              <w:t xml:space="preserve">Health plan coverage is considered affordable if the employee’s required contribution does not exceed 9.5% of the employee’s household income for the year (as adjusted each year). </w:t>
            </w:r>
            <w:r w:rsidRPr="00A74995">
              <w:t xml:space="preserve">For plan years beginning in 2024, the adjusted affordability percentage is </w:t>
            </w:r>
            <w:r w:rsidRPr="005527D8">
              <w:rPr>
                <w:b/>
                <w:bCs/>
              </w:rPr>
              <w:t>8.39%.</w:t>
            </w:r>
            <w:r>
              <w:t xml:space="preserve"> </w:t>
            </w:r>
          </w:p>
          <w:p w:rsidR="00ED50C7" w:rsidP="00ED50C7" w14:paraId="7327EA1B" w14:textId="120EA52F">
            <w:pPr>
              <w:pStyle w:val="BodyText"/>
              <w:spacing w:before="60" w:after="60"/>
            </w:pPr>
            <w:r w:rsidRPr="00D51A03">
              <w:t>The affordability test applies only to the portion of the annual premiums for self-only coverage and does not include any additional cost for family coverage. Also, if an employer offers multiple health coverage options, the affordability test applies to the lowest-cost option that provides MV.</w:t>
            </w:r>
          </w:p>
        </w:tc>
      </w:tr>
      <w:tr w14:paraId="5824B1DB" w14:textId="77777777" w:rsidTr="00FA63A0">
        <w:tblPrEx>
          <w:tblW w:w="0" w:type="auto"/>
          <w:tblLook w:val="04A0"/>
        </w:tblPrEx>
        <w:sdt>
          <w:sdtPr>
            <w:rPr>
              <w:b w:val="0"/>
              <w:bCs/>
              <w:sz w:val="32"/>
              <w:szCs w:val="32"/>
            </w:rPr>
            <w:id w:val="2113388882"/>
            <w14:checkbox>
              <w14:checked w14:val="0"/>
              <w14:checkedState w14:val="2612" w14:font="MS Gothic"/>
              <w14:uncheckedState w14:val="2610" w14:font="MS Gothic"/>
            </w14:checkbox>
          </w:sdtPr>
          <w:sdtContent>
            <w:tc>
              <w:tcPr>
                <w:tcW w:w="1794" w:type="dxa"/>
                <w:vMerge w:val="restart"/>
                <w:vAlign w:val="center"/>
              </w:tcPr>
              <w:p w:rsidR="00ED50C7" w:rsidP="00ED50C7" w14:paraId="6F226637" w14:textId="08903008">
                <w:pPr>
                  <w:pStyle w:val="SubHeader"/>
                  <w:spacing w:before="60" w:after="60"/>
                  <w:jc w:val="center"/>
                </w:pPr>
                <w:r>
                  <w:rPr>
                    <w:rFonts w:ascii="MS Gothic" w:eastAsia="MS Gothic" w:hAnsi="MS Gothic" w:hint="eastAsia"/>
                    <w:b w:val="0"/>
                    <w:bCs/>
                    <w:sz w:val="32"/>
                    <w:szCs w:val="32"/>
                  </w:rPr>
                  <w:t>☐</w:t>
                </w:r>
              </w:p>
            </w:tc>
          </w:sdtContent>
        </w:sdt>
        <w:tc>
          <w:tcPr>
            <w:tcW w:w="8996" w:type="dxa"/>
            <w:gridSpan w:val="4"/>
            <w:tcBorders>
              <w:bottom w:val="single" w:sz="4" w:space="0" w:color="FFFFFF" w:themeColor="background1"/>
            </w:tcBorders>
          </w:tcPr>
          <w:p w:rsidR="00ED50C7" w:rsidRPr="00834BB4" w:rsidP="00ED50C7" w14:paraId="6D4030E4" w14:textId="5A686BB7">
            <w:pPr>
              <w:pStyle w:val="BodyText"/>
              <w:spacing w:before="60" w:after="60"/>
              <w:rPr>
                <w:b/>
                <w:bCs/>
                <w:color w:val="5083C9"/>
                <w:szCs w:val="22"/>
              </w:rPr>
            </w:pPr>
            <w:r w:rsidRPr="00834BB4">
              <w:rPr>
                <w:b/>
                <w:bCs/>
                <w:color w:val="5083C9"/>
                <w:szCs w:val="22"/>
              </w:rPr>
              <w:t xml:space="preserve">Update </w:t>
            </w:r>
            <w:r w:rsidRPr="00B318FD">
              <w:rPr>
                <w:b/>
                <w:bCs/>
                <w:color w:val="5083C9"/>
                <w:szCs w:val="22"/>
              </w:rPr>
              <w:t>employee</w:t>
            </w:r>
            <w:r w:rsidRPr="00834BB4">
              <w:rPr>
                <w:b/>
                <w:bCs/>
                <w:color w:val="5083C9"/>
                <w:szCs w:val="22"/>
              </w:rPr>
              <w:t xml:space="preserve"> benefit limits for 2024 </w:t>
            </w:r>
          </w:p>
          <w:p w:rsidR="00ED50C7" w:rsidP="00ED50C7" w14:paraId="15B83DB9" w14:textId="099194CE">
            <w:pPr>
              <w:pStyle w:val="BodyText"/>
              <w:spacing w:before="60" w:after="60"/>
            </w:pPr>
            <w:r>
              <w:t>Update benefit election and payroll systems for the 2024 plan limits and communicate the new limits to employees. Benefit limits that change for 2024 include the following:</w:t>
            </w:r>
          </w:p>
        </w:tc>
      </w:tr>
      <w:tr w14:paraId="0F27AC43" w14:textId="77777777" w:rsidTr="004118AE">
        <w:tblPrEx>
          <w:tblW w:w="0" w:type="auto"/>
          <w:tblLook w:val="04A0"/>
        </w:tblPrEx>
        <w:trPr>
          <w:trHeight w:val="124"/>
        </w:trPr>
        <w:tc>
          <w:tcPr>
            <w:tcW w:w="1794" w:type="dxa"/>
            <w:vMerge/>
            <w:tcBorders>
              <w:right w:val="single" w:sz="4" w:space="0" w:color="5083C9"/>
            </w:tcBorders>
          </w:tcPr>
          <w:p w:rsidR="00ED50C7" w:rsidP="00ED50C7" w14:paraId="12C7FB9F" w14:textId="77777777">
            <w:pPr>
              <w:pStyle w:val="SubHeader"/>
              <w:spacing w:before="60" w:after="60"/>
            </w:pPr>
          </w:p>
        </w:tc>
        <w:tc>
          <w:tcPr>
            <w:tcW w:w="3779" w:type="dxa"/>
            <w:vMerge w:val="restart"/>
            <w:tcBorders>
              <w:top w:val="single" w:sz="4" w:space="0" w:color="5083C9"/>
              <w:left w:val="single" w:sz="4" w:space="0" w:color="5083C9"/>
              <w:bottom w:val="single" w:sz="4" w:space="0" w:color="5083C9"/>
              <w:right w:val="single" w:sz="4" w:space="0" w:color="5083C9"/>
            </w:tcBorders>
            <w:shd w:val="clear" w:color="auto" w:fill="F2F7FC"/>
            <w:vAlign w:val="center"/>
          </w:tcPr>
          <w:p w:rsidR="00ED50C7" w:rsidRPr="004118AE" w:rsidP="00ED50C7" w14:paraId="0A47F2F0" w14:textId="533FC4D8">
            <w:pPr>
              <w:pStyle w:val="BodyText"/>
              <w:spacing w:before="60" w:after="60"/>
              <w:jc w:val="center"/>
              <w:rPr>
                <w:b/>
                <w:bCs/>
              </w:rPr>
            </w:pPr>
            <w:r w:rsidRPr="004118AE">
              <w:rPr>
                <w:b/>
                <w:bCs/>
              </w:rPr>
              <w:t>HSA contribution limits</w:t>
            </w:r>
          </w:p>
        </w:tc>
        <w:tc>
          <w:tcPr>
            <w:tcW w:w="2609" w:type="dxa"/>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78DCA07D" w14:textId="36A42A20">
            <w:pPr>
              <w:pStyle w:val="BodyText"/>
              <w:spacing w:before="60" w:after="60"/>
            </w:pPr>
            <w:r>
              <w:t>Self-only HDHP coverage</w:t>
            </w:r>
          </w:p>
        </w:tc>
        <w:tc>
          <w:tcPr>
            <w:tcW w:w="2608" w:type="dxa"/>
            <w:gridSpan w:val="2"/>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1D0CCD2B" w14:textId="6EAC772F">
            <w:pPr>
              <w:pStyle w:val="BodyText"/>
              <w:spacing w:before="60" w:after="60"/>
            </w:pPr>
            <w:r>
              <w:t>$4,150 (up from $3,850)</w:t>
            </w:r>
          </w:p>
        </w:tc>
      </w:tr>
      <w:tr w14:paraId="40F9F5BB" w14:textId="77777777" w:rsidTr="004118AE">
        <w:tblPrEx>
          <w:tblW w:w="0" w:type="auto"/>
          <w:tblLook w:val="04A0"/>
        </w:tblPrEx>
        <w:trPr>
          <w:trHeight w:val="123"/>
        </w:trPr>
        <w:tc>
          <w:tcPr>
            <w:tcW w:w="1794" w:type="dxa"/>
            <w:vMerge/>
            <w:tcBorders>
              <w:right w:val="single" w:sz="4" w:space="0" w:color="5083C9"/>
            </w:tcBorders>
          </w:tcPr>
          <w:p w:rsidR="00ED50C7" w:rsidP="00ED50C7" w14:paraId="1D89721B" w14:textId="77777777">
            <w:pPr>
              <w:pStyle w:val="SubHeader"/>
              <w:spacing w:before="60" w:after="60"/>
            </w:pPr>
          </w:p>
        </w:tc>
        <w:tc>
          <w:tcPr>
            <w:tcW w:w="3779" w:type="dxa"/>
            <w:vMerge/>
            <w:tcBorders>
              <w:top w:val="single" w:sz="4" w:space="0" w:color="5083C9"/>
              <w:left w:val="single" w:sz="4" w:space="0" w:color="5083C9"/>
              <w:bottom w:val="single" w:sz="4" w:space="0" w:color="5083C9"/>
              <w:right w:val="single" w:sz="4" w:space="0" w:color="5083C9"/>
            </w:tcBorders>
            <w:shd w:val="clear" w:color="auto" w:fill="F2F7FC"/>
          </w:tcPr>
          <w:p w:rsidR="00ED50C7" w:rsidRPr="004118AE" w:rsidP="00ED50C7" w14:paraId="3CEB3B6B" w14:textId="77777777">
            <w:pPr>
              <w:pStyle w:val="BodyText"/>
              <w:spacing w:before="60" w:after="60"/>
              <w:rPr>
                <w:b/>
                <w:bCs/>
              </w:rPr>
            </w:pPr>
          </w:p>
        </w:tc>
        <w:tc>
          <w:tcPr>
            <w:tcW w:w="2609" w:type="dxa"/>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2E0EC431" w14:textId="136D0A17">
            <w:pPr>
              <w:pStyle w:val="BodyText"/>
              <w:spacing w:before="60" w:after="60"/>
            </w:pPr>
            <w:r>
              <w:t>Family HDHP coverage</w:t>
            </w:r>
          </w:p>
        </w:tc>
        <w:tc>
          <w:tcPr>
            <w:tcW w:w="2608" w:type="dxa"/>
            <w:gridSpan w:val="2"/>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275347E5" w14:textId="703B84CF">
            <w:pPr>
              <w:pStyle w:val="BodyText"/>
              <w:spacing w:before="60" w:after="60"/>
            </w:pPr>
            <w:r>
              <w:t>$8,300 (up from $7,750)</w:t>
            </w:r>
          </w:p>
        </w:tc>
      </w:tr>
      <w:tr w14:paraId="28E005C1" w14:textId="77777777" w:rsidTr="004118AE">
        <w:tblPrEx>
          <w:tblW w:w="0" w:type="auto"/>
          <w:tblLook w:val="04A0"/>
        </w:tblPrEx>
        <w:trPr>
          <w:trHeight w:val="123"/>
        </w:trPr>
        <w:tc>
          <w:tcPr>
            <w:tcW w:w="1794" w:type="dxa"/>
            <w:vMerge/>
            <w:tcBorders>
              <w:right w:val="single" w:sz="4" w:space="0" w:color="5083C9"/>
            </w:tcBorders>
          </w:tcPr>
          <w:p w:rsidR="00ED50C7" w:rsidP="00ED50C7" w14:paraId="5054E318" w14:textId="77777777">
            <w:pPr>
              <w:pStyle w:val="SubHeader"/>
              <w:spacing w:before="60" w:after="60"/>
            </w:pPr>
          </w:p>
        </w:tc>
        <w:tc>
          <w:tcPr>
            <w:tcW w:w="3779" w:type="dxa"/>
            <w:vMerge/>
            <w:tcBorders>
              <w:top w:val="single" w:sz="4" w:space="0" w:color="5083C9"/>
              <w:left w:val="single" w:sz="4" w:space="0" w:color="5083C9"/>
              <w:bottom w:val="single" w:sz="4" w:space="0" w:color="5083C9"/>
              <w:right w:val="single" w:sz="4" w:space="0" w:color="5083C9"/>
            </w:tcBorders>
            <w:shd w:val="clear" w:color="auto" w:fill="F2F7FC"/>
          </w:tcPr>
          <w:p w:rsidR="00ED50C7" w:rsidRPr="004118AE" w:rsidP="00ED50C7" w14:paraId="6398F997" w14:textId="77777777">
            <w:pPr>
              <w:pStyle w:val="BodyText"/>
              <w:spacing w:before="60" w:after="60"/>
              <w:rPr>
                <w:b/>
                <w:bCs/>
              </w:rPr>
            </w:pPr>
          </w:p>
        </w:tc>
        <w:tc>
          <w:tcPr>
            <w:tcW w:w="5217" w:type="dxa"/>
            <w:gridSpan w:val="3"/>
            <w:tcBorders>
              <w:top w:val="single" w:sz="4" w:space="0" w:color="5083C9"/>
              <w:left w:val="single" w:sz="4" w:space="0" w:color="5083C9"/>
              <w:bottom w:val="single" w:sz="4" w:space="0" w:color="5083C9"/>
              <w:right w:val="single" w:sz="4" w:space="0" w:color="5083C9"/>
            </w:tcBorders>
            <w:shd w:val="clear" w:color="auto" w:fill="F2F7FC"/>
          </w:tcPr>
          <w:p w:rsidR="00ED50C7" w:rsidP="004118AE" w14:paraId="7EAC08F1" w14:textId="1591CB52">
            <w:pPr>
              <w:pStyle w:val="BodyText"/>
              <w:spacing w:before="60" w:after="60"/>
              <w:jc w:val="center"/>
            </w:pPr>
            <w:r>
              <w:t>Catch-up contribution limit ($1,000) remains the same</w:t>
            </w:r>
          </w:p>
        </w:tc>
      </w:tr>
      <w:tr w14:paraId="7F691069" w14:textId="77777777" w:rsidTr="004118AE">
        <w:tblPrEx>
          <w:tblW w:w="0" w:type="auto"/>
          <w:tblLook w:val="04A0"/>
        </w:tblPrEx>
        <w:tc>
          <w:tcPr>
            <w:tcW w:w="1794" w:type="dxa"/>
            <w:vMerge/>
            <w:tcBorders>
              <w:right w:val="single" w:sz="4" w:space="0" w:color="5083C9"/>
            </w:tcBorders>
          </w:tcPr>
          <w:p w:rsidR="00FA63A0" w:rsidP="00ED50C7" w14:paraId="00083E51" w14:textId="77777777">
            <w:pPr>
              <w:pStyle w:val="SubHeader"/>
              <w:spacing w:before="60" w:after="60"/>
            </w:pPr>
          </w:p>
        </w:tc>
        <w:tc>
          <w:tcPr>
            <w:tcW w:w="3779" w:type="dxa"/>
            <w:vMerge w:val="restart"/>
            <w:tcBorders>
              <w:top w:val="single" w:sz="4" w:space="0" w:color="5083C9"/>
              <w:left w:val="single" w:sz="4" w:space="0" w:color="5083C9"/>
              <w:right w:val="single" w:sz="4" w:space="0" w:color="5083C9"/>
            </w:tcBorders>
            <w:shd w:val="clear" w:color="auto" w:fill="F2F7FC"/>
            <w:vAlign w:val="center"/>
          </w:tcPr>
          <w:p w:rsidR="00FA63A0" w:rsidRPr="004118AE" w:rsidP="00ED50C7" w14:paraId="480FE860" w14:textId="40CECFD5">
            <w:pPr>
              <w:pStyle w:val="BodyText"/>
              <w:spacing w:before="60" w:after="60"/>
              <w:jc w:val="center"/>
              <w:rPr>
                <w:b/>
                <w:bCs/>
              </w:rPr>
            </w:pPr>
            <w:r w:rsidRPr="004118AE">
              <w:rPr>
                <w:b/>
                <w:bCs/>
              </w:rPr>
              <w:t>Health FSA limits</w:t>
            </w:r>
          </w:p>
        </w:tc>
        <w:tc>
          <w:tcPr>
            <w:tcW w:w="2609" w:type="dxa"/>
            <w:tcBorders>
              <w:top w:val="single" w:sz="4" w:space="0" w:color="5083C9"/>
              <w:left w:val="single" w:sz="4" w:space="0" w:color="5083C9"/>
              <w:bottom w:val="single" w:sz="4" w:space="0" w:color="5083C9"/>
              <w:right w:val="single" w:sz="4" w:space="0" w:color="5083C9"/>
            </w:tcBorders>
            <w:shd w:val="clear" w:color="auto" w:fill="F2F7FC"/>
          </w:tcPr>
          <w:p w:rsidR="00FA63A0" w:rsidP="00FA63A0" w14:paraId="43ED2425" w14:textId="47D854EA">
            <w:pPr>
              <w:pStyle w:val="BodyText"/>
              <w:spacing w:before="60" w:after="60"/>
              <w:jc w:val="left"/>
            </w:pPr>
            <w:r>
              <w:t>Employee contribution limit</w:t>
            </w:r>
          </w:p>
        </w:tc>
        <w:tc>
          <w:tcPr>
            <w:tcW w:w="2608" w:type="dxa"/>
            <w:gridSpan w:val="2"/>
            <w:tcBorders>
              <w:top w:val="single" w:sz="4" w:space="0" w:color="5083C9"/>
              <w:left w:val="single" w:sz="4" w:space="0" w:color="5083C9"/>
              <w:bottom w:val="single" w:sz="4" w:space="0" w:color="5083C9"/>
              <w:right w:val="single" w:sz="4" w:space="0" w:color="5083C9"/>
            </w:tcBorders>
            <w:shd w:val="clear" w:color="auto" w:fill="F2F7FC"/>
          </w:tcPr>
          <w:p w:rsidR="00FA63A0" w:rsidP="00ED50C7" w14:paraId="574B50D6" w14:textId="5009525E">
            <w:pPr>
              <w:pStyle w:val="BodyText"/>
              <w:spacing w:before="60" w:after="60"/>
            </w:pPr>
            <w:r>
              <w:t>$3,200 (up from $3,050)</w:t>
            </w:r>
          </w:p>
        </w:tc>
      </w:tr>
      <w:tr w14:paraId="2A89ADCC" w14:textId="77777777" w:rsidTr="004118AE">
        <w:tblPrEx>
          <w:tblW w:w="0" w:type="auto"/>
          <w:tblLook w:val="04A0"/>
        </w:tblPrEx>
        <w:tc>
          <w:tcPr>
            <w:tcW w:w="1794" w:type="dxa"/>
            <w:vMerge/>
            <w:tcBorders>
              <w:right w:val="single" w:sz="4" w:space="0" w:color="5083C9"/>
            </w:tcBorders>
          </w:tcPr>
          <w:p w:rsidR="00FA63A0" w:rsidP="00ED50C7" w14:paraId="7CA77E7B" w14:textId="77777777">
            <w:pPr>
              <w:pStyle w:val="SubHeader"/>
              <w:spacing w:before="60" w:after="60"/>
            </w:pPr>
          </w:p>
        </w:tc>
        <w:tc>
          <w:tcPr>
            <w:tcW w:w="3779" w:type="dxa"/>
            <w:vMerge/>
            <w:tcBorders>
              <w:left w:val="single" w:sz="4" w:space="0" w:color="5083C9"/>
              <w:bottom w:val="single" w:sz="4" w:space="0" w:color="5083C9"/>
              <w:right w:val="single" w:sz="4" w:space="0" w:color="5083C9"/>
            </w:tcBorders>
            <w:shd w:val="clear" w:color="auto" w:fill="F2F7FC"/>
            <w:vAlign w:val="center"/>
          </w:tcPr>
          <w:p w:rsidR="00FA63A0" w:rsidRPr="004118AE" w:rsidP="00FA63A0" w14:paraId="6778220E" w14:textId="33D5DFBC">
            <w:pPr>
              <w:pStyle w:val="BodyText"/>
              <w:spacing w:before="60" w:after="60"/>
              <w:rPr>
                <w:b/>
                <w:bCs/>
              </w:rPr>
            </w:pPr>
          </w:p>
        </w:tc>
        <w:tc>
          <w:tcPr>
            <w:tcW w:w="2608" w:type="dxa"/>
            <w:tcBorders>
              <w:top w:val="single" w:sz="4" w:space="0" w:color="5083C9"/>
              <w:left w:val="single" w:sz="4" w:space="0" w:color="5083C9"/>
              <w:bottom w:val="single" w:sz="4" w:space="0" w:color="5083C9"/>
              <w:right w:val="single" w:sz="4" w:space="0" w:color="5083C9"/>
            </w:tcBorders>
            <w:shd w:val="clear" w:color="auto" w:fill="F2F7FC"/>
          </w:tcPr>
          <w:p w:rsidR="00FA63A0" w:rsidP="00ED50C7" w14:paraId="214516D6" w14:textId="75E0B388">
            <w:pPr>
              <w:pStyle w:val="BodyText"/>
              <w:spacing w:before="60" w:after="60"/>
            </w:pPr>
            <w:r>
              <w:t>Carryover limit</w:t>
            </w:r>
          </w:p>
        </w:tc>
        <w:tc>
          <w:tcPr>
            <w:tcW w:w="2609" w:type="dxa"/>
            <w:gridSpan w:val="2"/>
            <w:tcBorders>
              <w:top w:val="single" w:sz="4" w:space="0" w:color="5083C9"/>
              <w:left w:val="single" w:sz="4" w:space="0" w:color="5083C9"/>
              <w:bottom w:val="single" w:sz="4" w:space="0" w:color="5083C9"/>
              <w:right w:val="single" w:sz="4" w:space="0" w:color="5083C9"/>
            </w:tcBorders>
            <w:shd w:val="clear" w:color="auto" w:fill="F2F7FC"/>
          </w:tcPr>
          <w:p w:rsidR="00FA63A0" w:rsidP="00ED50C7" w14:paraId="40AC3C14" w14:textId="07D61EB5">
            <w:pPr>
              <w:pStyle w:val="BodyText"/>
              <w:spacing w:before="60" w:after="60"/>
            </w:pPr>
            <w:r>
              <w:t>$640 (up from $610)</w:t>
            </w:r>
          </w:p>
        </w:tc>
      </w:tr>
      <w:tr w14:paraId="56B586C4" w14:textId="77777777" w:rsidTr="004118AE">
        <w:tblPrEx>
          <w:tblW w:w="0" w:type="auto"/>
          <w:tblLook w:val="04A0"/>
        </w:tblPrEx>
        <w:trPr>
          <w:trHeight w:val="310"/>
        </w:trPr>
        <w:tc>
          <w:tcPr>
            <w:tcW w:w="1794" w:type="dxa"/>
            <w:vMerge/>
            <w:tcBorders>
              <w:right w:val="single" w:sz="4" w:space="0" w:color="5083C9"/>
            </w:tcBorders>
          </w:tcPr>
          <w:p w:rsidR="00ED50C7" w:rsidP="00ED50C7" w14:paraId="76403F8F" w14:textId="77777777">
            <w:pPr>
              <w:pStyle w:val="SubHeader"/>
              <w:spacing w:before="60" w:after="60"/>
            </w:pPr>
          </w:p>
        </w:tc>
        <w:tc>
          <w:tcPr>
            <w:tcW w:w="3779" w:type="dxa"/>
            <w:vMerge w:val="restart"/>
            <w:tcBorders>
              <w:top w:val="single" w:sz="4" w:space="0" w:color="5083C9"/>
              <w:left w:val="single" w:sz="4" w:space="0" w:color="5083C9"/>
              <w:bottom w:val="single" w:sz="4" w:space="0" w:color="5083C9"/>
              <w:right w:val="single" w:sz="4" w:space="0" w:color="5083C9"/>
            </w:tcBorders>
            <w:shd w:val="clear" w:color="auto" w:fill="F2F7FC"/>
            <w:vAlign w:val="center"/>
          </w:tcPr>
          <w:p w:rsidR="00ED50C7" w:rsidRPr="004118AE" w:rsidP="00ED50C7" w14:paraId="72D231A1" w14:textId="66B19DC9">
            <w:pPr>
              <w:pStyle w:val="BodyText"/>
              <w:spacing w:before="60" w:after="60"/>
              <w:jc w:val="center"/>
              <w:rPr>
                <w:b/>
                <w:bCs/>
              </w:rPr>
            </w:pPr>
            <w:r w:rsidRPr="004118AE">
              <w:rPr>
                <w:b/>
                <w:bCs/>
              </w:rPr>
              <w:t>HDHP  minimum deductible</w:t>
            </w:r>
          </w:p>
        </w:tc>
        <w:tc>
          <w:tcPr>
            <w:tcW w:w="2609" w:type="dxa"/>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046B2F11" w14:textId="25E2C8D2">
            <w:pPr>
              <w:pStyle w:val="BodyText"/>
              <w:spacing w:before="60" w:after="60"/>
            </w:pPr>
            <w:r>
              <w:t>Self-only HDHP coverage</w:t>
            </w:r>
          </w:p>
        </w:tc>
        <w:tc>
          <w:tcPr>
            <w:tcW w:w="2608" w:type="dxa"/>
            <w:gridSpan w:val="2"/>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19D3356E" w14:textId="5B59D560">
            <w:pPr>
              <w:pStyle w:val="BodyText"/>
              <w:spacing w:before="60" w:after="60"/>
            </w:pPr>
            <w:r>
              <w:t>$1,600 (up from $1,500)</w:t>
            </w:r>
          </w:p>
        </w:tc>
      </w:tr>
      <w:tr w14:paraId="78F6A496" w14:textId="77777777" w:rsidTr="004118AE">
        <w:tblPrEx>
          <w:tblW w:w="0" w:type="auto"/>
          <w:tblLook w:val="04A0"/>
        </w:tblPrEx>
        <w:trPr>
          <w:trHeight w:val="310"/>
        </w:trPr>
        <w:tc>
          <w:tcPr>
            <w:tcW w:w="1794" w:type="dxa"/>
            <w:vMerge/>
            <w:tcBorders>
              <w:right w:val="single" w:sz="4" w:space="0" w:color="5083C9"/>
            </w:tcBorders>
          </w:tcPr>
          <w:p w:rsidR="00ED50C7" w:rsidP="00ED50C7" w14:paraId="36889EA3" w14:textId="77777777">
            <w:pPr>
              <w:pStyle w:val="SubHeader"/>
              <w:spacing w:before="60" w:after="60"/>
            </w:pPr>
          </w:p>
        </w:tc>
        <w:tc>
          <w:tcPr>
            <w:tcW w:w="3779" w:type="dxa"/>
            <w:vMerge/>
            <w:tcBorders>
              <w:top w:val="single" w:sz="4" w:space="0" w:color="FFFFFF" w:themeColor="background1"/>
              <w:left w:val="single" w:sz="4" w:space="0" w:color="5083C9"/>
              <w:bottom w:val="single" w:sz="4" w:space="0" w:color="5083C9"/>
              <w:right w:val="single" w:sz="4" w:space="0" w:color="5083C9"/>
            </w:tcBorders>
            <w:shd w:val="clear" w:color="auto" w:fill="F2F7FC"/>
            <w:vAlign w:val="center"/>
          </w:tcPr>
          <w:p w:rsidR="00ED50C7" w:rsidRPr="004118AE" w:rsidP="00ED50C7" w14:paraId="323AB419" w14:textId="77777777">
            <w:pPr>
              <w:pStyle w:val="BodyText"/>
              <w:spacing w:before="60" w:after="60"/>
              <w:jc w:val="center"/>
              <w:rPr>
                <w:b/>
                <w:bCs/>
              </w:rPr>
            </w:pPr>
          </w:p>
        </w:tc>
        <w:tc>
          <w:tcPr>
            <w:tcW w:w="2609" w:type="dxa"/>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6B07D6DB" w14:textId="32F92882">
            <w:pPr>
              <w:pStyle w:val="BodyText"/>
              <w:spacing w:before="60" w:after="60"/>
            </w:pPr>
            <w:r>
              <w:t>Family HDHP coverage</w:t>
            </w:r>
          </w:p>
        </w:tc>
        <w:tc>
          <w:tcPr>
            <w:tcW w:w="2608" w:type="dxa"/>
            <w:gridSpan w:val="2"/>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111BF79B" w14:textId="5C999281">
            <w:pPr>
              <w:pStyle w:val="BodyText"/>
              <w:spacing w:before="60" w:after="60"/>
            </w:pPr>
            <w:r>
              <w:t>$3,200 (up from $3,000)</w:t>
            </w:r>
          </w:p>
        </w:tc>
      </w:tr>
      <w:tr w14:paraId="69199993" w14:textId="77777777" w:rsidTr="004118AE">
        <w:tblPrEx>
          <w:tblW w:w="0" w:type="auto"/>
          <w:tblLook w:val="04A0"/>
        </w:tblPrEx>
        <w:trPr>
          <w:trHeight w:val="185"/>
        </w:trPr>
        <w:tc>
          <w:tcPr>
            <w:tcW w:w="1794" w:type="dxa"/>
            <w:vMerge/>
            <w:tcBorders>
              <w:right w:val="single" w:sz="4" w:space="0" w:color="5083C9"/>
            </w:tcBorders>
          </w:tcPr>
          <w:p w:rsidR="00ED50C7" w:rsidP="00ED50C7" w14:paraId="7277C971" w14:textId="77777777">
            <w:pPr>
              <w:pStyle w:val="SubHeader"/>
              <w:spacing w:before="60" w:after="60"/>
            </w:pPr>
          </w:p>
        </w:tc>
        <w:tc>
          <w:tcPr>
            <w:tcW w:w="3779" w:type="dxa"/>
            <w:vMerge w:val="restart"/>
            <w:tcBorders>
              <w:top w:val="single" w:sz="4" w:space="0" w:color="5083C9"/>
              <w:left w:val="single" w:sz="4" w:space="0" w:color="5083C9"/>
              <w:bottom w:val="single" w:sz="4" w:space="0" w:color="5083C9"/>
              <w:right w:val="single" w:sz="4" w:space="0" w:color="5083C9"/>
            </w:tcBorders>
            <w:shd w:val="clear" w:color="auto" w:fill="F2F7FC"/>
            <w:vAlign w:val="center"/>
          </w:tcPr>
          <w:p w:rsidR="00ED50C7" w:rsidRPr="004118AE" w:rsidP="00ED50C7" w14:paraId="7877F67F" w14:textId="7E643A32">
            <w:pPr>
              <w:pStyle w:val="BodyText"/>
              <w:spacing w:before="60" w:after="60"/>
              <w:jc w:val="center"/>
              <w:rPr>
                <w:b/>
                <w:bCs/>
              </w:rPr>
            </w:pPr>
            <w:r w:rsidRPr="004118AE">
              <w:rPr>
                <w:b/>
                <w:bCs/>
              </w:rPr>
              <w:t>HDHP out-of-pocket maximum</w:t>
            </w:r>
          </w:p>
        </w:tc>
        <w:tc>
          <w:tcPr>
            <w:tcW w:w="2609" w:type="dxa"/>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3E9EE87D" w14:textId="06E9AAE8">
            <w:pPr>
              <w:pStyle w:val="BodyText"/>
              <w:spacing w:before="60" w:after="60"/>
            </w:pPr>
            <w:r>
              <w:t>Self-only HDHP coverage</w:t>
            </w:r>
          </w:p>
        </w:tc>
        <w:tc>
          <w:tcPr>
            <w:tcW w:w="2608" w:type="dxa"/>
            <w:gridSpan w:val="2"/>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2D386F7B" w14:textId="7109DC8F">
            <w:pPr>
              <w:pStyle w:val="BodyText"/>
              <w:spacing w:before="60" w:after="60"/>
            </w:pPr>
            <w:r>
              <w:t>$8,050 (up from $7,500)</w:t>
            </w:r>
          </w:p>
        </w:tc>
      </w:tr>
      <w:tr w14:paraId="077F83A6" w14:textId="77777777" w:rsidTr="004118AE">
        <w:tblPrEx>
          <w:tblW w:w="0" w:type="auto"/>
          <w:tblLook w:val="04A0"/>
        </w:tblPrEx>
        <w:trPr>
          <w:trHeight w:val="185"/>
        </w:trPr>
        <w:tc>
          <w:tcPr>
            <w:tcW w:w="1794" w:type="dxa"/>
            <w:vMerge/>
            <w:tcBorders>
              <w:right w:val="single" w:sz="4" w:space="0" w:color="5083C9"/>
            </w:tcBorders>
          </w:tcPr>
          <w:p w:rsidR="00ED50C7" w:rsidP="00ED50C7" w14:paraId="1A14FD1E" w14:textId="77777777">
            <w:pPr>
              <w:pStyle w:val="SubHeader"/>
              <w:spacing w:before="60" w:after="60"/>
            </w:pPr>
          </w:p>
        </w:tc>
        <w:tc>
          <w:tcPr>
            <w:tcW w:w="3779" w:type="dxa"/>
            <w:vMerge/>
            <w:tcBorders>
              <w:top w:val="single" w:sz="4" w:space="0" w:color="FFFFFF" w:themeColor="background1"/>
              <w:left w:val="single" w:sz="4" w:space="0" w:color="5083C9"/>
              <w:bottom w:val="single" w:sz="4" w:space="0" w:color="5083C9"/>
              <w:right w:val="single" w:sz="4" w:space="0" w:color="5083C9"/>
            </w:tcBorders>
            <w:shd w:val="clear" w:color="auto" w:fill="F2F7FC"/>
          </w:tcPr>
          <w:p w:rsidR="00ED50C7" w:rsidRPr="004118AE" w:rsidP="00ED50C7" w14:paraId="323F2770" w14:textId="77777777">
            <w:pPr>
              <w:pStyle w:val="BodyText"/>
              <w:spacing w:before="60" w:after="60"/>
              <w:rPr>
                <w:b/>
                <w:bCs/>
              </w:rPr>
            </w:pPr>
          </w:p>
        </w:tc>
        <w:tc>
          <w:tcPr>
            <w:tcW w:w="2609" w:type="dxa"/>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39B58865" w14:textId="57F3B9EB">
            <w:pPr>
              <w:pStyle w:val="BodyText"/>
              <w:spacing w:before="60" w:after="60"/>
            </w:pPr>
            <w:r>
              <w:t>Family HDHP coverage</w:t>
            </w:r>
          </w:p>
        </w:tc>
        <w:tc>
          <w:tcPr>
            <w:tcW w:w="2608" w:type="dxa"/>
            <w:gridSpan w:val="2"/>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3BD8CEBA" w14:textId="69DA7E0D">
            <w:pPr>
              <w:pStyle w:val="BodyText"/>
              <w:spacing w:before="60" w:after="60"/>
            </w:pPr>
            <w:r>
              <w:t>$16,100 (up from $15,000)</w:t>
            </w:r>
          </w:p>
        </w:tc>
      </w:tr>
      <w:tr w14:paraId="05112ED1" w14:textId="77777777" w:rsidTr="004118AE">
        <w:tblPrEx>
          <w:tblW w:w="0" w:type="auto"/>
          <w:tblLook w:val="04A0"/>
        </w:tblPrEx>
        <w:tc>
          <w:tcPr>
            <w:tcW w:w="1794" w:type="dxa"/>
            <w:vMerge/>
            <w:tcBorders>
              <w:right w:val="single" w:sz="4" w:space="0" w:color="5083C9"/>
            </w:tcBorders>
          </w:tcPr>
          <w:p w:rsidR="00ED50C7" w:rsidP="00ED50C7" w14:paraId="0AB54A37" w14:textId="77777777">
            <w:pPr>
              <w:pStyle w:val="SubHeader"/>
              <w:spacing w:before="60" w:after="60"/>
            </w:pPr>
          </w:p>
        </w:tc>
        <w:tc>
          <w:tcPr>
            <w:tcW w:w="3779" w:type="dxa"/>
            <w:tcBorders>
              <w:top w:val="single" w:sz="4" w:space="0" w:color="5083C9"/>
              <w:left w:val="single" w:sz="4" w:space="0" w:color="5083C9"/>
              <w:bottom w:val="single" w:sz="4" w:space="0" w:color="5083C9"/>
              <w:right w:val="single" w:sz="4" w:space="0" w:color="5083C9"/>
            </w:tcBorders>
            <w:shd w:val="clear" w:color="auto" w:fill="F2F7FC"/>
            <w:vAlign w:val="center"/>
          </w:tcPr>
          <w:p w:rsidR="00ED50C7" w:rsidRPr="004118AE" w:rsidP="00ED50C7" w14:paraId="21C9341B" w14:textId="502BA77A">
            <w:pPr>
              <w:pStyle w:val="BodyText"/>
              <w:spacing w:before="60" w:after="60"/>
              <w:jc w:val="center"/>
              <w:rPr>
                <w:b/>
                <w:bCs/>
              </w:rPr>
            </w:pPr>
            <w:r w:rsidRPr="004118AE">
              <w:rPr>
                <w:b/>
                <w:bCs/>
              </w:rPr>
              <w:t>401(k), 403(b) and 457(b) employee contribution limit</w:t>
            </w:r>
          </w:p>
        </w:tc>
        <w:tc>
          <w:tcPr>
            <w:tcW w:w="5217" w:type="dxa"/>
            <w:gridSpan w:val="3"/>
            <w:tcBorders>
              <w:top w:val="single" w:sz="4" w:space="0" w:color="5083C9"/>
              <w:left w:val="single" w:sz="4" w:space="0" w:color="5083C9"/>
              <w:bottom w:val="single" w:sz="4" w:space="0" w:color="5083C9"/>
              <w:right w:val="single" w:sz="4" w:space="0" w:color="5083C9"/>
            </w:tcBorders>
            <w:shd w:val="clear" w:color="auto" w:fill="F2F7FC"/>
          </w:tcPr>
          <w:p w:rsidR="00ED50C7" w:rsidP="004118AE" w14:paraId="4F5A316C" w14:textId="77777777">
            <w:pPr>
              <w:pStyle w:val="BodyText"/>
              <w:spacing w:before="60" w:after="60"/>
              <w:jc w:val="center"/>
            </w:pPr>
            <w:r>
              <w:t>$23,000 (up from $22,500)</w:t>
            </w:r>
          </w:p>
          <w:p w:rsidR="00ED50C7" w:rsidP="004118AE" w14:paraId="67ECDE18" w14:textId="447369AF">
            <w:pPr>
              <w:pStyle w:val="BodyText"/>
              <w:spacing w:before="60" w:after="60"/>
              <w:jc w:val="center"/>
            </w:pPr>
            <w:r>
              <w:t>Catch-up contribution limit ($7,500) remains the same</w:t>
            </w:r>
          </w:p>
        </w:tc>
      </w:tr>
      <w:tr w14:paraId="779E0841" w14:textId="77777777" w:rsidTr="004118AE">
        <w:tblPrEx>
          <w:tblW w:w="0" w:type="auto"/>
          <w:tblLook w:val="04A0"/>
        </w:tblPrEx>
        <w:trPr>
          <w:trHeight w:val="310"/>
        </w:trPr>
        <w:tc>
          <w:tcPr>
            <w:tcW w:w="1794" w:type="dxa"/>
            <w:vMerge/>
            <w:tcBorders>
              <w:right w:val="single" w:sz="4" w:space="0" w:color="5083C9"/>
            </w:tcBorders>
          </w:tcPr>
          <w:p w:rsidR="00ED50C7" w:rsidP="00ED50C7" w14:paraId="10187AC5" w14:textId="77777777">
            <w:pPr>
              <w:pStyle w:val="SubHeader"/>
              <w:spacing w:before="60" w:after="60"/>
            </w:pPr>
          </w:p>
        </w:tc>
        <w:tc>
          <w:tcPr>
            <w:tcW w:w="3779" w:type="dxa"/>
            <w:vMerge w:val="restart"/>
            <w:tcBorders>
              <w:top w:val="single" w:sz="4" w:space="0" w:color="5083C9"/>
              <w:left w:val="single" w:sz="4" w:space="0" w:color="5083C9"/>
              <w:bottom w:val="single" w:sz="4" w:space="0" w:color="5083C9"/>
              <w:right w:val="single" w:sz="4" w:space="0" w:color="5083C9"/>
            </w:tcBorders>
            <w:shd w:val="clear" w:color="auto" w:fill="F2F7FC"/>
            <w:vAlign w:val="center"/>
          </w:tcPr>
          <w:p w:rsidR="00ED50C7" w:rsidRPr="004118AE" w:rsidP="00ED50C7" w14:paraId="255224B4" w14:textId="1B781370">
            <w:pPr>
              <w:pStyle w:val="BodyText"/>
              <w:spacing w:before="60" w:after="60"/>
              <w:jc w:val="center"/>
              <w:rPr>
                <w:b/>
                <w:bCs/>
              </w:rPr>
            </w:pPr>
            <w:r w:rsidRPr="004118AE">
              <w:rPr>
                <w:b/>
                <w:bCs/>
              </w:rPr>
              <w:t>Qualified transportation fringe benefits (monthly limits)</w:t>
            </w:r>
          </w:p>
        </w:tc>
        <w:tc>
          <w:tcPr>
            <w:tcW w:w="2741" w:type="dxa"/>
            <w:gridSpan w:val="2"/>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0FBC3F9A" w14:textId="1E8D1AEF">
            <w:pPr>
              <w:pStyle w:val="BodyText"/>
              <w:spacing w:before="60" w:after="60"/>
            </w:pPr>
            <w:r>
              <w:t>Transit pass and vanpooling</w:t>
            </w:r>
          </w:p>
        </w:tc>
        <w:tc>
          <w:tcPr>
            <w:tcW w:w="2476" w:type="dxa"/>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162A80DB" w14:textId="3AC8D385">
            <w:pPr>
              <w:pStyle w:val="BodyText"/>
              <w:spacing w:before="60" w:after="60"/>
            </w:pPr>
            <w:r>
              <w:t>$315</w:t>
            </w:r>
            <w:r>
              <w:t xml:space="preserve"> (up from $300)</w:t>
            </w:r>
          </w:p>
        </w:tc>
      </w:tr>
      <w:tr w14:paraId="47E9EDD0" w14:textId="77777777" w:rsidTr="004118AE">
        <w:tblPrEx>
          <w:tblW w:w="0" w:type="auto"/>
          <w:tblLook w:val="04A0"/>
        </w:tblPrEx>
        <w:trPr>
          <w:trHeight w:val="310"/>
        </w:trPr>
        <w:tc>
          <w:tcPr>
            <w:tcW w:w="1794" w:type="dxa"/>
            <w:vMerge/>
            <w:tcBorders>
              <w:right w:val="single" w:sz="4" w:space="0" w:color="5083C9"/>
            </w:tcBorders>
          </w:tcPr>
          <w:p w:rsidR="00ED50C7" w:rsidP="00ED50C7" w14:paraId="3557D0DA" w14:textId="77777777">
            <w:pPr>
              <w:pStyle w:val="SubHeader"/>
              <w:spacing w:before="60" w:after="60"/>
            </w:pPr>
          </w:p>
        </w:tc>
        <w:tc>
          <w:tcPr>
            <w:tcW w:w="3779" w:type="dxa"/>
            <w:vMerge/>
            <w:tcBorders>
              <w:top w:val="single" w:sz="4" w:space="0" w:color="FFFFFF" w:themeColor="background1"/>
              <w:left w:val="single" w:sz="4" w:space="0" w:color="5083C9"/>
              <w:bottom w:val="single" w:sz="4" w:space="0" w:color="5083C9"/>
              <w:right w:val="single" w:sz="4" w:space="0" w:color="5083C9"/>
            </w:tcBorders>
            <w:shd w:val="clear" w:color="auto" w:fill="F2F7FC"/>
          </w:tcPr>
          <w:p w:rsidR="00ED50C7" w:rsidP="00ED50C7" w14:paraId="04F40FA5" w14:textId="77777777">
            <w:pPr>
              <w:pStyle w:val="BodyText"/>
              <w:spacing w:before="60" w:after="60"/>
            </w:pPr>
          </w:p>
        </w:tc>
        <w:tc>
          <w:tcPr>
            <w:tcW w:w="2741" w:type="dxa"/>
            <w:gridSpan w:val="2"/>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4D933E9D" w14:textId="391BA769">
            <w:pPr>
              <w:pStyle w:val="BodyText"/>
              <w:spacing w:before="60" w:after="60"/>
            </w:pPr>
            <w:r>
              <w:t>Parking</w:t>
            </w:r>
          </w:p>
        </w:tc>
        <w:tc>
          <w:tcPr>
            <w:tcW w:w="2476" w:type="dxa"/>
            <w:tcBorders>
              <w:top w:val="single" w:sz="4" w:space="0" w:color="5083C9"/>
              <w:left w:val="single" w:sz="4" w:space="0" w:color="5083C9"/>
              <w:bottom w:val="single" w:sz="4" w:space="0" w:color="5083C9"/>
              <w:right w:val="single" w:sz="4" w:space="0" w:color="5083C9"/>
            </w:tcBorders>
            <w:shd w:val="clear" w:color="auto" w:fill="F2F7FC"/>
          </w:tcPr>
          <w:p w:rsidR="00ED50C7" w:rsidP="00ED50C7" w14:paraId="2208D541" w14:textId="7FD4701F">
            <w:pPr>
              <w:pStyle w:val="BodyText"/>
              <w:spacing w:before="60" w:after="60"/>
            </w:pPr>
            <w:r>
              <w:t>$315</w:t>
            </w:r>
            <w:r>
              <w:t xml:space="preserve"> (up from $300)</w:t>
            </w:r>
          </w:p>
        </w:tc>
      </w:tr>
      <w:tr w14:paraId="518E53C7" w14:textId="77777777" w:rsidTr="00FA63A0">
        <w:tblPrEx>
          <w:tblW w:w="0" w:type="auto"/>
          <w:tblLook w:val="04A0"/>
        </w:tblPrEx>
        <w:sdt>
          <w:sdtPr>
            <w:rPr>
              <w:b w:val="0"/>
              <w:bCs/>
              <w:sz w:val="32"/>
              <w:szCs w:val="32"/>
            </w:rPr>
            <w:id w:val="-1472282474"/>
            <w14:checkbox>
              <w14:checked w14:val="0"/>
              <w14:checkedState w14:val="2612" w14:font="MS Gothic"/>
              <w14:uncheckedState w14:val="2610" w14:font="MS Gothic"/>
            </w14:checkbox>
          </w:sdtPr>
          <w:sdtContent>
            <w:tc>
              <w:tcPr>
                <w:tcW w:w="1794" w:type="dxa"/>
                <w:vAlign w:val="center"/>
              </w:tcPr>
              <w:p w:rsidR="006B1B1D" w:rsidP="00ED50C7" w14:paraId="7E132AC8" w14:textId="51DD22C4">
                <w:pPr>
                  <w:pStyle w:val="SubHeader"/>
                  <w:spacing w:before="60" w:after="60"/>
                  <w:jc w:val="center"/>
                  <w:rPr>
                    <w:rFonts w:ascii="MS Gothic" w:eastAsia="MS Gothic" w:hAnsi="MS Gothic"/>
                    <w:b w:val="0"/>
                    <w:bCs/>
                    <w:sz w:val="32"/>
                    <w:szCs w:val="32"/>
                  </w:rPr>
                </w:pPr>
                <w:r>
                  <w:rPr>
                    <w:rFonts w:ascii="MS Gothic" w:eastAsia="MS Gothic" w:hAnsi="MS Gothic" w:hint="eastAsia"/>
                    <w:b w:val="0"/>
                    <w:bCs/>
                    <w:sz w:val="32"/>
                    <w:szCs w:val="32"/>
                  </w:rPr>
                  <w:t>☐</w:t>
                </w:r>
              </w:p>
            </w:tc>
          </w:sdtContent>
        </w:sdt>
        <w:tc>
          <w:tcPr>
            <w:tcW w:w="8996" w:type="dxa"/>
            <w:gridSpan w:val="4"/>
            <w:tcBorders>
              <w:top w:val="single" w:sz="4" w:space="0" w:color="FFFFFF" w:themeColor="background1"/>
            </w:tcBorders>
          </w:tcPr>
          <w:p w:rsidR="006B1B1D" w:rsidRPr="00A301F8" w:rsidP="006B1B1D" w14:paraId="2167B9EE" w14:textId="77777777">
            <w:pPr>
              <w:pStyle w:val="BodyText"/>
              <w:spacing w:before="60" w:after="60"/>
              <w:rPr>
                <w:b/>
                <w:bCs/>
                <w:color w:val="5083C9"/>
              </w:rPr>
            </w:pPr>
            <w:r w:rsidRPr="00A301F8">
              <w:rPr>
                <w:b/>
                <w:bCs/>
                <w:color w:val="5083C9"/>
              </w:rPr>
              <w:t>Prepare to file ACA returns electronically in 2024</w:t>
            </w:r>
          </w:p>
          <w:p w:rsidR="006B1B1D" w:rsidP="006B1B1D" w14:paraId="2354A752" w14:textId="77777777">
            <w:pPr>
              <w:pStyle w:val="BodyText"/>
              <w:spacing w:before="60" w:after="60"/>
            </w:pPr>
            <w:r w:rsidRPr="004D7844">
              <w:t>Be</w:t>
            </w:r>
            <w:r>
              <w:t>ginning in 2024, virtually all employers who are subject to ACA reporting must file their returns electronically. P</w:t>
            </w:r>
            <w:r w:rsidRPr="004D7844">
              <w:t xml:space="preserve">aper filing is only available to </w:t>
            </w:r>
            <w:r>
              <w:t xml:space="preserve">the smallest </w:t>
            </w:r>
            <w:r w:rsidRPr="004D7844">
              <w:t xml:space="preserve">employers </w:t>
            </w:r>
            <w:r>
              <w:t xml:space="preserve">(i.e., those </w:t>
            </w:r>
            <w:r w:rsidRPr="004D7844">
              <w:t>who file fewer than 10 information returns with the IRS for the year</w:t>
            </w:r>
            <w:r>
              <w:t>)</w:t>
            </w:r>
            <w:r w:rsidRPr="004D7844">
              <w:t xml:space="preserve">. </w:t>
            </w:r>
            <w:r w:rsidRPr="00B246BA">
              <w:t xml:space="preserve">A hardship waiver may be requested from the electronic filing requirement by submitting </w:t>
            </w:r>
            <w:hyperlink r:id="rId15" w:history="1">
              <w:r w:rsidRPr="005C59FA">
                <w:rPr>
                  <w:rStyle w:val="Hyperlink"/>
                </w:rPr>
                <w:t>Form 8508</w:t>
              </w:r>
            </w:hyperlink>
            <w:r w:rsidRPr="00B246BA">
              <w:t xml:space="preserve"> to the IRS.</w:t>
            </w:r>
          </w:p>
          <w:p w:rsidR="00C045EB" w:rsidP="006B1B1D" w14:paraId="4CA8B7F9" w14:textId="77777777">
            <w:pPr>
              <w:pStyle w:val="BodyText"/>
              <w:spacing w:before="60" w:after="60"/>
              <w:rPr>
                <w:b/>
                <w:bCs/>
              </w:rPr>
            </w:pPr>
            <w:r w:rsidRPr="00A74285">
              <w:t xml:space="preserve">The normal deadline for electronic ACA reporting is March 31 each year. However, since March 31, 2024, is a Sunday, electronic returns must be filed by the next business day, which is </w:t>
            </w:r>
            <w:r w:rsidRPr="005527D8">
              <w:rPr>
                <w:b/>
                <w:bCs/>
              </w:rPr>
              <w:t>April 1, 2024.</w:t>
            </w:r>
            <w:r>
              <w:rPr>
                <w:b/>
                <w:bCs/>
              </w:rPr>
              <w:t xml:space="preserve"> </w:t>
            </w:r>
          </w:p>
          <w:p w:rsidR="006B1B1D" w:rsidP="006B1B1D" w14:paraId="37C7793B" w14:textId="77777777">
            <w:pPr>
              <w:pStyle w:val="BodyText"/>
              <w:spacing w:before="60" w:after="60"/>
            </w:pPr>
            <w:r>
              <w:t xml:space="preserve">ACA returns are filed electronically through the IRS’ </w:t>
            </w:r>
            <w:hyperlink r:id="rId16" w:history="1">
              <w:r w:rsidRPr="007F66C2">
                <w:rPr>
                  <w:rStyle w:val="Hyperlink"/>
                </w:rPr>
                <w:t>ACA Information Returns (AIR) Program</w:t>
              </w:r>
            </w:hyperlink>
            <w:r>
              <w:t xml:space="preserve">. </w:t>
            </w:r>
            <w:r w:rsidR="00B318FD">
              <w:t xml:space="preserve">Due to this program’s complexity, </w:t>
            </w:r>
            <w:r>
              <w:t>employers typically work with third-party vendors or payroll providers to complete their electronic filings.</w:t>
            </w:r>
          </w:p>
          <w:p w:rsidR="00B318FD" w:rsidRPr="00C045EB" w:rsidP="006B1B1D" w14:paraId="405D2CD9" w14:textId="2BE5B071">
            <w:pPr>
              <w:pStyle w:val="BodyText"/>
              <w:spacing w:before="60" w:after="60"/>
              <w:rPr>
                <w:b/>
                <w:bCs/>
              </w:rPr>
            </w:pPr>
          </w:p>
        </w:tc>
      </w:tr>
      <w:tr w14:paraId="07585581" w14:textId="77777777" w:rsidTr="00FA63A0">
        <w:tblPrEx>
          <w:tblW w:w="0" w:type="auto"/>
          <w:tblLook w:val="04A0"/>
        </w:tblPrEx>
        <w:sdt>
          <w:sdtPr>
            <w:rPr>
              <w:b w:val="0"/>
              <w:bCs/>
              <w:sz w:val="32"/>
              <w:szCs w:val="32"/>
            </w:rPr>
            <w:id w:val="325633675"/>
            <w14:checkbox>
              <w14:checked w14:val="0"/>
              <w14:checkedState w14:val="2612" w14:font="MS Gothic"/>
              <w14:uncheckedState w14:val="2610" w14:font="MS Gothic"/>
            </w14:checkbox>
          </w:sdtPr>
          <w:sdtContent>
            <w:tc>
              <w:tcPr>
                <w:tcW w:w="1794" w:type="dxa"/>
                <w:vAlign w:val="center"/>
              </w:tcPr>
              <w:p w:rsidR="00ED50C7" w:rsidP="00ED50C7" w14:paraId="4299E861" w14:textId="2FD4E1E4">
                <w:pPr>
                  <w:pStyle w:val="SubHeader"/>
                  <w:spacing w:before="60" w:after="60"/>
                  <w:jc w:val="center"/>
                  <w:rPr>
                    <w:rFonts w:ascii="MS Gothic" w:eastAsia="MS Gothic" w:hAnsi="MS Gothic"/>
                    <w:b w:val="0"/>
                    <w:bCs/>
                    <w:sz w:val="32"/>
                    <w:szCs w:val="32"/>
                  </w:rPr>
                </w:pPr>
                <w:r>
                  <w:rPr>
                    <w:rFonts w:ascii="MS Gothic" w:eastAsia="MS Gothic" w:hAnsi="MS Gothic" w:hint="eastAsia"/>
                    <w:b w:val="0"/>
                    <w:bCs/>
                    <w:sz w:val="32"/>
                    <w:szCs w:val="32"/>
                  </w:rPr>
                  <w:t>☐</w:t>
                </w:r>
              </w:p>
            </w:tc>
          </w:sdtContent>
        </w:sdt>
        <w:tc>
          <w:tcPr>
            <w:tcW w:w="8996" w:type="dxa"/>
            <w:gridSpan w:val="4"/>
          </w:tcPr>
          <w:p w:rsidR="00ED50C7" w:rsidRPr="008C3137" w:rsidP="00ED50C7" w14:paraId="4018C795" w14:textId="25A46EFB">
            <w:pPr>
              <w:pStyle w:val="BodyText"/>
              <w:spacing w:before="60" w:after="60"/>
              <w:rPr>
                <w:b/>
                <w:bCs/>
                <w:color w:val="5083C9"/>
                <w:szCs w:val="22"/>
              </w:rPr>
            </w:pPr>
            <w:r>
              <w:rPr>
                <w:b/>
                <w:bCs/>
                <w:color w:val="5083C9"/>
                <w:szCs w:val="22"/>
              </w:rPr>
              <w:t>Revise</w:t>
            </w:r>
            <w:r w:rsidRPr="008C3137">
              <w:rPr>
                <w:b/>
                <w:bCs/>
                <w:color w:val="5083C9"/>
                <w:szCs w:val="22"/>
              </w:rPr>
              <w:t xml:space="preserve"> employee communications, including SPDs, for 2024 benefit changes</w:t>
            </w:r>
          </w:p>
          <w:p w:rsidR="00ED50C7" w:rsidRPr="009C275D" w:rsidP="00ED50C7" w14:paraId="2574A7DB" w14:textId="5104C17A">
            <w:pPr>
              <w:pStyle w:val="BodyText"/>
            </w:pPr>
            <w:r>
              <w:t xml:space="preserve">Communicate any benefit plan changes for the plan year beginning in 2024 to employees through an updated SPD or a summary of material modifications (SMM). </w:t>
            </w:r>
          </w:p>
        </w:tc>
      </w:tr>
      <w:tr w14:paraId="00431B54" w14:textId="77777777" w:rsidTr="00FA63A0">
        <w:tblPrEx>
          <w:tblW w:w="0" w:type="auto"/>
          <w:tblLook w:val="04A0"/>
        </w:tblPrEx>
        <w:sdt>
          <w:sdtPr>
            <w:rPr>
              <w:b w:val="0"/>
              <w:bCs/>
              <w:sz w:val="32"/>
              <w:szCs w:val="32"/>
            </w:rPr>
            <w:id w:val="-1632932113"/>
            <w14:checkbox>
              <w14:checked w14:val="0"/>
              <w14:checkedState w14:val="2612" w14:font="MS Gothic"/>
              <w14:uncheckedState w14:val="2610" w14:font="MS Gothic"/>
            </w14:checkbox>
          </w:sdtPr>
          <w:sdtContent>
            <w:tc>
              <w:tcPr>
                <w:tcW w:w="1794" w:type="dxa"/>
                <w:vAlign w:val="center"/>
              </w:tcPr>
              <w:p w:rsidR="00ED50C7" w:rsidP="00ED50C7" w14:paraId="40B210C7" w14:textId="7183AE76">
                <w:pPr>
                  <w:pStyle w:val="SubHeader"/>
                  <w:spacing w:before="60" w:after="60"/>
                  <w:jc w:val="center"/>
                  <w:rPr>
                    <w:rFonts w:ascii="MS Gothic" w:eastAsia="MS Gothic" w:hAnsi="MS Gothic"/>
                    <w:b w:val="0"/>
                    <w:bCs/>
                    <w:sz w:val="32"/>
                    <w:szCs w:val="32"/>
                  </w:rPr>
                </w:pPr>
                <w:r>
                  <w:rPr>
                    <w:rFonts w:ascii="MS Gothic" w:eastAsia="MS Gothic" w:hAnsi="MS Gothic" w:hint="eastAsia"/>
                    <w:b w:val="0"/>
                    <w:bCs/>
                    <w:sz w:val="32"/>
                    <w:szCs w:val="32"/>
                  </w:rPr>
                  <w:t>☐</w:t>
                </w:r>
              </w:p>
            </w:tc>
          </w:sdtContent>
        </w:sdt>
        <w:tc>
          <w:tcPr>
            <w:tcW w:w="8996" w:type="dxa"/>
            <w:gridSpan w:val="4"/>
          </w:tcPr>
          <w:p w:rsidR="00ED50C7" w:rsidRPr="008C3137" w:rsidP="002B7AE0" w14:paraId="41B20527" w14:textId="0135A611">
            <w:pPr>
              <w:pStyle w:val="BodyText"/>
              <w:spacing w:before="60" w:after="60"/>
              <w:rPr>
                <w:b/>
                <w:bCs/>
                <w:color w:val="5083C9"/>
                <w:szCs w:val="22"/>
              </w:rPr>
            </w:pPr>
            <w:r w:rsidRPr="008C3137">
              <w:rPr>
                <w:b/>
                <w:bCs/>
                <w:color w:val="5083C9"/>
                <w:szCs w:val="22"/>
              </w:rPr>
              <w:t xml:space="preserve">Reach out to your health plan’s issuer or TPA to confirm that the comparative analysis of NQTLs will be updated, if necessary, for 2024. </w:t>
            </w:r>
          </w:p>
          <w:p w:rsidR="00ED50C7" w:rsidP="002B7AE0" w14:paraId="384AD0DC" w14:textId="54FDE529">
            <w:pPr>
              <w:pStyle w:val="BodyText"/>
              <w:spacing w:before="60" w:after="60"/>
            </w:pPr>
            <w:r>
              <w:t xml:space="preserve">The Mental Health Parity and Addiction Equity Act (MHPAEA) requires parity between a group health plan’s medical/surgical benefits and its mental health or substance use disorder (MH/SUD) benefits. </w:t>
            </w:r>
            <w:r w:rsidR="00EA53B9">
              <w:t>A</w:t>
            </w:r>
            <w:r>
              <w:t xml:space="preserve">ny nonquantitative treatment limitations (NQTLs) placed on MH/SUD benefits must comply with MHPAEA’s parity requirements. For example, NQTLs include prior authorization, step therapy protocols, network adequacy and medical necessity criteria. </w:t>
            </w:r>
          </w:p>
          <w:p w:rsidR="00ED50C7" w:rsidRPr="009D323F" w:rsidP="002B7AE0" w14:paraId="0A3A7910" w14:textId="78B2AE1A">
            <w:pPr>
              <w:pStyle w:val="BodyText"/>
              <w:spacing w:before="60" w:after="60"/>
            </w:pPr>
            <w:r>
              <w:t>MHPAEA requires health plans and issuers to conduct comparative analyses of the NQTLs used for medical/surgical benefits compared to MH/SUD benefits. Plans and issuers must make their comparative analyses available upon request to specific federal agencies or applicable state authorities.</w:t>
            </w:r>
            <w:r w:rsidR="001219EB">
              <w:t xml:space="preserve"> Because MHPAEA compliance is a top enforcement priority for the U.S. Department of Labor</w:t>
            </w:r>
            <w:r w:rsidR="00416708">
              <w:t xml:space="preserve">, </w:t>
            </w:r>
            <w:r w:rsidR="001219EB">
              <w:t>employers should ensure their health plans have an up-to-date comparative analysis</w:t>
            </w:r>
            <w:r w:rsidR="004A1834">
              <w:t xml:space="preserve">. </w:t>
            </w:r>
          </w:p>
        </w:tc>
      </w:tr>
      <w:tr w14:paraId="296E0864" w14:textId="77777777" w:rsidTr="00FA63A0">
        <w:tblPrEx>
          <w:tblW w:w="0" w:type="auto"/>
          <w:tblLook w:val="04A0"/>
        </w:tblPrEx>
        <w:sdt>
          <w:sdtPr>
            <w:rPr>
              <w:b w:val="0"/>
              <w:bCs/>
              <w:sz w:val="32"/>
              <w:szCs w:val="32"/>
            </w:rPr>
            <w:id w:val="-1348094558"/>
            <w14:checkbox>
              <w14:checked w14:val="0"/>
              <w14:checkedState w14:val="2612" w14:font="MS Gothic"/>
              <w14:uncheckedState w14:val="2610" w14:font="MS Gothic"/>
            </w14:checkbox>
          </w:sdtPr>
          <w:sdtContent>
            <w:tc>
              <w:tcPr>
                <w:tcW w:w="1794" w:type="dxa"/>
                <w:vAlign w:val="center"/>
              </w:tcPr>
              <w:p w:rsidR="00BC2395" w:rsidP="00ED50C7" w14:paraId="177B60D1" w14:textId="2B93061A">
                <w:pPr>
                  <w:pStyle w:val="SubHeader"/>
                  <w:spacing w:before="60" w:after="60"/>
                  <w:jc w:val="center"/>
                  <w:rPr>
                    <w:rFonts w:ascii="MS Gothic" w:eastAsia="MS Gothic" w:hAnsi="MS Gothic"/>
                    <w:b w:val="0"/>
                    <w:bCs/>
                    <w:sz w:val="32"/>
                    <w:szCs w:val="32"/>
                  </w:rPr>
                </w:pPr>
                <w:r>
                  <w:rPr>
                    <w:rFonts w:ascii="MS Gothic" w:eastAsia="MS Gothic" w:hAnsi="MS Gothic" w:hint="eastAsia"/>
                    <w:b w:val="0"/>
                    <w:bCs/>
                    <w:sz w:val="32"/>
                    <w:szCs w:val="32"/>
                  </w:rPr>
                  <w:t>☐</w:t>
                </w:r>
              </w:p>
            </w:tc>
          </w:sdtContent>
        </w:sdt>
        <w:tc>
          <w:tcPr>
            <w:tcW w:w="8996" w:type="dxa"/>
            <w:gridSpan w:val="4"/>
          </w:tcPr>
          <w:p w:rsidR="00BC2395" w:rsidP="002B7AE0" w14:paraId="6A615CE4" w14:textId="4812989C">
            <w:pPr>
              <w:pStyle w:val="BodyText"/>
              <w:spacing w:before="60" w:after="60"/>
              <w:rPr>
                <w:b/>
                <w:bCs/>
                <w:color w:val="5083C9"/>
                <w:szCs w:val="22"/>
              </w:rPr>
            </w:pPr>
            <w:r>
              <w:rPr>
                <w:b/>
                <w:bCs/>
                <w:color w:val="5083C9"/>
                <w:szCs w:val="22"/>
              </w:rPr>
              <w:t xml:space="preserve">Confirm </w:t>
            </w:r>
            <w:r w:rsidR="00900DF5">
              <w:rPr>
                <w:b/>
                <w:bCs/>
                <w:color w:val="5083C9"/>
                <w:szCs w:val="22"/>
              </w:rPr>
              <w:t xml:space="preserve">that the </w:t>
            </w:r>
            <w:r>
              <w:rPr>
                <w:b/>
                <w:bCs/>
                <w:color w:val="5083C9"/>
                <w:szCs w:val="22"/>
              </w:rPr>
              <w:t>health plan’s price comparison tool will cover</w:t>
            </w:r>
            <w:r w:rsidR="007C3CCA">
              <w:rPr>
                <w:b/>
                <w:bCs/>
                <w:color w:val="5083C9"/>
                <w:szCs w:val="22"/>
              </w:rPr>
              <w:t xml:space="preserve"> all covered items, services and drugs for 2024. </w:t>
            </w:r>
          </w:p>
          <w:p w:rsidR="007C3CCA" w:rsidRPr="00741AF9" w:rsidP="00741AF9" w14:paraId="733DEB05" w14:textId="4FCD47EB">
            <w:pPr>
              <w:pStyle w:val="BodyText"/>
            </w:pPr>
            <w:r w:rsidRPr="008256D2">
              <w:t xml:space="preserve">For plan years beginning </w:t>
            </w:r>
            <w:r>
              <w:t xml:space="preserve">in </w:t>
            </w:r>
            <w:r w:rsidRPr="008256D2">
              <w:t xml:space="preserve">2023, </w:t>
            </w:r>
            <w:r>
              <w:t xml:space="preserve">health </w:t>
            </w:r>
            <w:r w:rsidRPr="008256D2">
              <w:t xml:space="preserve">plans and issuers were required to make </w:t>
            </w:r>
            <w:r w:rsidR="00C86938">
              <w:t xml:space="preserve">an internet-based </w:t>
            </w:r>
            <w:r w:rsidRPr="008256D2">
              <w:t xml:space="preserve">price comparison </w:t>
            </w:r>
            <w:r w:rsidR="00C86938">
              <w:t xml:space="preserve">tool </w:t>
            </w:r>
            <w:r w:rsidRPr="008256D2">
              <w:t xml:space="preserve">available for 500 shoppable items, services and drugs. For plan years beginning </w:t>
            </w:r>
            <w:r w:rsidR="002207D6">
              <w:t xml:space="preserve">in </w:t>
            </w:r>
            <w:r w:rsidRPr="008256D2">
              <w:t xml:space="preserve">2024, </w:t>
            </w:r>
            <w:r w:rsidR="002207D6">
              <w:t xml:space="preserve">this price comparison tool must be expanded to cover </w:t>
            </w:r>
            <w:r w:rsidRPr="00741AF9" w:rsidR="00741AF9">
              <w:t xml:space="preserve">all covered items, services and drugs. </w:t>
            </w:r>
            <w:r w:rsidRPr="00C85D35" w:rsidR="00C85D35">
              <w:t>Most employers rely on their issuers or TPAs to develop and maintain the price comparison tool</w:t>
            </w:r>
            <w:r w:rsidR="006B3618">
              <w:t xml:space="preserve">. To ensure compliance, employers should make sure this responsibility is included in a written agreement with their issuer or TPA. </w:t>
            </w:r>
            <w:r w:rsidR="001973F5">
              <w:t>In addition, self-insured employers should</w:t>
            </w:r>
            <w:r w:rsidRPr="001973F5" w:rsidR="001973F5">
              <w:t xml:space="preserve"> monitor their </w:t>
            </w:r>
            <w:r w:rsidR="00CD3293">
              <w:t>TPA’s</w:t>
            </w:r>
            <w:r w:rsidRPr="001973F5" w:rsidR="001973F5">
              <w:t xml:space="preserve"> compliance with this requirement. Unlike fully insured plans, the legal responsibility for this tool stays with a self-insured plan even if it</w:t>
            </w:r>
            <w:r w:rsidR="00CD3293">
              <w:t>s TPA</w:t>
            </w:r>
            <w:r w:rsidRPr="001973F5" w:rsidR="001973F5">
              <w:t xml:space="preserve"> agrees to provide the price comparison tool on its behalf.  </w:t>
            </w:r>
          </w:p>
        </w:tc>
      </w:tr>
    </w:tbl>
    <w:p w:rsidR="005C46C0" w:rsidP="00625E81" w14:paraId="643B0D15" w14:textId="77777777">
      <w:pPr>
        <w:pStyle w:val="SubHeader"/>
      </w:pPr>
    </w:p>
    <w:p w:rsidR="005C46C0" w:rsidP="00625E81" w14:paraId="60F284E1" w14:textId="77777777">
      <w:pPr>
        <w:pStyle w:val="SubHeader"/>
      </w:pPr>
    </w:p>
    <w:p w:rsidR="005C46C0" w:rsidP="00625E81" w14:paraId="0CDB54A3" w14:textId="77777777">
      <w:pPr>
        <w:pStyle w:val="SubHeader"/>
      </w:pPr>
    </w:p>
    <w:p w:rsidR="005C46C0" w:rsidP="00625E81" w14:paraId="2AFED316" w14:textId="77777777">
      <w:pPr>
        <w:pStyle w:val="SubHeader"/>
      </w:pPr>
    </w:p>
    <w:p w:rsidR="006F26B0" w:rsidP="004967FA" w14:paraId="523B7B86" w14:textId="77777777">
      <w:pPr>
        <w:pStyle w:val="BodyText"/>
      </w:pPr>
    </w:p>
    <w:p w:rsidR="00931369" w:rsidP="004967FA" w14:paraId="17B62953" w14:textId="77777777">
      <w:pPr>
        <w:pStyle w:val="BodyText"/>
      </w:pPr>
    </w:p>
    <w:p w:rsidR="0044776D" w:rsidP="004967FA" w14:paraId="1630BA40" w14:textId="77777777">
      <w:pPr>
        <w:pStyle w:val="BodyText"/>
      </w:pPr>
    </w:p>
    <w:sectPr w:rsidSect="00C84C66">
      <w:headerReference w:type="default" r:id="rId17"/>
      <w:footerReference w:type="default" r:id="rId18"/>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636D" w14:paraId="3B5F293B" w14:textId="77777777">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9035" cy="8965"/>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0288"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2999777"/>
      <w:docPartObj>
        <w:docPartGallery w:val="Page Numbers (Bottom of Page)"/>
        <w:docPartUnique/>
      </w:docPartObj>
    </w:sdtPr>
    <w:sdtEndPr>
      <w:rPr>
        <w:noProof/>
      </w:rPr>
    </w:sdtEndPr>
    <w:sdtContent>
      <w:p w:rsidR="00A95ADA" w14:paraId="6C19C854" w14:textId="7777777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E6115F" w14:paraId="3427382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636D" w14:paraId="6C1E4298"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57CD" w14:paraId="20156EC9" w14:textId="77777777">
    <w:pPr>
      <w:pStyle w:val="Header"/>
    </w:pPr>
    <w:r>
      <w:rPr>
        <w:noProof/>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chemeClr val="accent1">
                            <a:alpha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3360" from="0,610.35pt" to="539.25pt,611.05pt" strokecolor="#4472c4" strokeweight="3.5pt">
              <v:stroke joinstyle="miter" opacity="49087f"/>
              <w10:wrap anchorx="margin" anchory="margin"/>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84875" cy="556260"/>
                      </a:xfrm>
                      <a:prstGeom prst="rect">
                        <a:avLst/>
                      </a:prstGeom>
                      <a:noFill/>
                      <a:ln w="6350">
                        <a:noFill/>
                      </a:ln>
                      <a:effectLst/>
                    </wps:spPr>
                    <wps:txbx>
                      <w:txbxContent>
                        <w:p w:rsidR="00EC1229" w:rsidRPr="00817EEE" w:rsidP="00EC1229" w14:textId="46046FB8">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BB6B87">
                            <w:t xml:space="preserve"> </w:t>
                          </w:r>
                          <w:r w:rsidR="00B06595">
                            <w:t>2023</w:t>
                          </w:r>
                          <w:r>
                            <w:t xml:space="preserve"> </w:t>
                          </w:r>
                          <w:r w:rsidRPr="00817EEE">
                            <w:t>Zywave, Inc.</w:t>
                          </w:r>
                          <w:r>
                            <w:t xml:space="preserve"> </w:t>
                          </w:r>
                          <w:r w:rsidRPr="00817EEE">
                            <w:t>All rights reserved.</w:t>
                          </w:r>
                        </w:p>
                        <w:p w:rsidR="00EC1229" w:rsidRPr="00947E11" w:rsidP="00EC1229" w14:textId="77777777">
                          <w:pPr>
                            <w:pStyle w:val="Disclaimer"/>
                            <w:rPr>
                              <w:szCs w:val="16"/>
                            </w:rPr>
                          </w:pPr>
                        </w:p>
                        <w:p w:rsidR="00E6115F" w:rsidRPr="00947E11" w:rsidP="008F7B15" w14:textId="77777777">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1" type="#_x0000_t202" style="width:471.25pt;height:43.8pt;margin-top:683.45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1312" filled="f" stroked="f" strokeweight="0.5pt">
              <v:textbox>
                <w:txbxContent>
                  <w:p w:rsidR="00EC1229" w:rsidRPr="00817EEE" w:rsidP="00EC1229" w14:paraId="32F6384F" w14:textId="46046FB8">
                    <w:pPr>
                      <w:pStyle w:val="Disclaimer"/>
                    </w:pPr>
                    <w:r w:rsidRPr="00947E11">
                      <w:rPr>
                        <w:szCs w:val="16"/>
                      </w:rPr>
                      <w:t xml:space="preserve">This </w:t>
                    </w:r>
                    <w:r>
                      <w:rPr>
                        <w:szCs w:val="16"/>
                      </w:rPr>
                      <w:t>Compliance Overview</w:t>
                    </w:r>
                    <w:r w:rsidRPr="00947E11">
                      <w:rPr>
                        <w:szCs w:val="16"/>
                      </w:rPr>
                      <w:t xml:space="preserve"> </w:t>
                    </w:r>
                    <w:r w:rsidRPr="00947E11">
                      <w:rPr>
                        <w:szCs w:val="16"/>
                      </w:rPr>
                      <w:t>is not intended</w:t>
                    </w:r>
                    <w:r w:rsidRPr="00947E11">
                      <w:rPr>
                        <w:szCs w:val="16"/>
                      </w:rPr>
                      <w:t xml:space="preserve"> to be exhaustive nor should any discussion or opinions be construed as legal advice. Readers should contact </w:t>
                    </w:r>
                    <w:r>
                      <w:rPr>
                        <w:szCs w:val="16"/>
                      </w:rPr>
                      <w:t xml:space="preserve">legal counsel for legal advice. </w:t>
                    </w:r>
                    <w:r w:rsidRPr="00817EEE">
                      <w:t>©</w:t>
                    </w:r>
                    <w:r w:rsidR="00BB6B87">
                      <w:t xml:space="preserve"> </w:t>
                    </w:r>
                    <w:r w:rsidR="00B06595">
                      <w:t>2023</w:t>
                    </w:r>
                    <w:r>
                      <w:t xml:space="preserve"> </w:t>
                    </w:r>
                    <w:r w:rsidRPr="00817EEE">
                      <w:t>Zywave, Inc.</w:t>
                    </w:r>
                    <w:r>
                      <w:t xml:space="preserve"> </w:t>
                    </w:r>
                    <w:r w:rsidRPr="00817EEE">
                      <w:t>All rights reserved.</w:t>
                    </w:r>
                  </w:p>
                  <w:p w:rsidR="00EC1229" w:rsidRPr="00947E11" w:rsidP="00EC1229" w14:paraId="2ADB0EFC" w14:textId="77777777">
                    <w:pPr>
                      <w:pStyle w:val="Disclaimer"/>
                      <w:rPr>
                        <w:szCs w:val="16"/>
                      </w:rPr>
                    </w:pPr>
                  </w:p>
                  <w:p w:rsidR="00E6115F" w:rsidRPr="00947E11" w:rsidP="008F7B15" w14:paraId="30DA9CAF" w14:textId="77777777">
                    <w:pPr>
                      <w:pStyle w:val="Disclaimer"/>
                      <w:rPr>
                        <w:szCs w:val="16"/>
                      </w:rPr>
                    </w:pPr>
                  </w:p>
                </w:txbxContent>
              </v:textbox>
              <w10:wrap anchorx="margin"/>
            </v:shape>
          </w:pict>
        </mc:Fallback>
      </mc:AlternateContent>
    </w:r>
    <w:r w:rsidR="00A357CD">
      <w:rPr>
        <w:noProof/>
      </w:rPr>
      <w:drawing>
        <wp:anchor distT="0" distB="0" distL="114300" distR="114300" simplePos="0" relativeHeight="251659264" behindDoc="1" locked="0" layoutInCell="1" allowOverlap="1">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E95063"/>
    <w:multiLevelType w:val="hybridMultilevel"/>
    <w:tmpl w:val="0CE2A7C2"/>
    <w:lvl w:ilvl="0">
      <w:start w:val="1"/>
      <w:numFmt w:val="bulle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68599D"/>
    <w:multiLevelType w:val="multilevel"/>
    <w:tmpl w:val="B13CDD56"/>
    <w:numStyleLink w:val="BulletedList"/>
  </w:abstractNum>
  <w:abstractNum w:abstractNumId="2">
    <w:nsid w:val="1A270686"/>
    <w:multiLevelType w:val="hybridMultilevel"/>
    <w:tmpl w:val="409AC006"/>
    <w:lvl w:ilvl="0">
      <w:start w:val="1"/>
      <w:numFmt w:val="bullet"/>
      <w:pStyle w:val="Checkbox"/>
      <w:lvlText w:val=""/>
      <w:lvlJc w:val="left"/>
      <w:pPr>
        <w:ind w:left="540" w:hanging="360"/>
      </w:pPr>
      <w:rPr>
        <w:rFonts w:ascii="Wingdings" w:hAnsi="Wingdings" w:hint="default"/>
        <w:color w:val="5083C9"/>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67C3E30"/>
    <w:multiLevelType w:val="hybridMultilevel"/>
    <w:tmpl w:val="DCE623FE"/>
    <w:lvl w:ilvl="0">
      <w:start w:val="1"/>
      <w:numFmt w:val="bullet"/>
      <w:pStyle w:val="Bullet"/>
      <w:lvlText w:val=""/>
      <w:lvlJc w:val="left"/>
      <w:pPr>
        <w:ind w:left="72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9D40F3B"/>
    <w:multiLevelType w:val="multilevel"/>
    <w:tmpl w:val="B13CDD56"/>
    <w:numStyleLink w:val="BulletedList"/>
  </w:abstractNum>
  <w:abstractNum w:abstractNumId="6">
    <w:nsid w:val="4A2106A5"/>
    <w:multiLevelType w:val="hybridMultilevel"/>
    <w:tmpl w:val="0C78D282"/>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00E6101"/>
    <w:multiLevelType w:val="hybridMultilevel"/>
    <w:tmpl w:val="403EE648"/>
    <w:lvl w:ilvl="0">
      <w:start w:val="1"/>
      <w:numFmt w:val="bullet"/>
      <w:lvlText w:val=""/>
      <w:lvlJc w:val="left"/>
      <w:pPr>
        <w:ind w:left="720" w:hanging="360"/>
      </w:pPr>
      <w:rPr>
        <w:rFonts w:ascii="Wingdings" w:hAnsi="Wingdings" w:hint="default"/>
        <w:color w:val="5083C9"/>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32E5207"/>
    <w:multiLevelType w:val="multilevel"/>
    <w:tmpl w:val="B13CDD56"/>
    <w:numStyleLink w:val="BulletedList"/>
  </w:abstractNum>
  <w:abstractNum w:abstractNumId="11">
    <w:nsid w:val="58BD1C9E"/>
    <w:multiLevelType w:val="hybridMultilevel"/>
    <w:tmpl w:val="3FFC1B10"/>
    <w:lvl w:ilvl="0">
      <w:start w:val="1"/>
      <w:numFmt w:val="bullet"/>
      <w:lvlText w:val=""/>
      <w:lvlJc w:val="left"/>
      <w:pPr>
        <w:ind w:left="720" w:hanging="360"/>
      </w:pPr>
      <w:rPr>
        <w:rFonts w:ascii="Wingdings" w:hAnsi="Wingdings" w:hint="default"/>
        <w:color w:val="5083C9"/>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0146D8D"/>
    <w:multiLevelType w:val="hybridMultilevel"/>
    <w:tmpl w:val="11402676"/>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0B4ECD"/>
    <w:multiLevelType w:val="hybridMultilevel"/>
    <w:tmpl w:val="6C406044"/>
    <w:lvl w:ilvl="0">
      <w:start w:val="1"/>
      <w:numFmt w:val="bullet"/>
      <w:pStyle w:val="BulletlistHighlight"/>
      <w:lvlText w:val=""/>
      <w:lvlJc w:val="left"/>
      <w:pPr>
        <w:ind w:left="288" w:hanging="288"/>
      </w:pPr>
      <w:rPr>
        <w:rFonts w:ascii="Symbol" w:hAnsi="Symbol" w:hint="default"/>
      </w:rPr>
    </w:lvl>
    <w:lvl w:ilvl="1">
      <w:start w:val="1"/>
      <w:numFmt w:val="bullet"/>
      <w:lvlText w:val="o"/>
      <w:lvlJc w:val="left"/>
      <w:pPr>
        <w:ind w:left="576" w:hanging="216"/>
      </w:pPr>
      <w:rPr>
        <w:rFonts w:ascii="Courier New" w:hAnsi="Courier New" w:hint="default"/>
      </w:rPr>
    </w:lvl>
    <w:lvl w:ilvl="2">
      <w:start w:val="1"/>
      <w:numFmt w:val="bullet"/>
      <w:lvlText w:val=""/>
      <w:lvlJc w:val="left"/>
      <w:pPr>
        <w:ind w:left="864" w:hanging="216"/>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235509"/>
    <w:multiLevelType w:val="hybridMultilevel"/>
    <w:tmpl w:val="189EC934"/>
    <w:lvl w:ilvl="0">
      <w:start w:val="1"/>
      <w:numFmt w:val="bullet"/>
      <w:lvlText w:val=""/>
      <w:lvlJc w:val="left"/>
      <w:pPr>
        <w:ind w:left="720" w:hanging="360"/>
      </w:pPr>
      <w:rPr>
        <w:rFonts w:ascii="Wingdings" w:hAnsi="Wingdings" w:hint="default"/>
        <w:color w:val="5083C9"/>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3E85E2A"/>
    <w:multiLevelType w:val="hybridMultilevel"/>
    <w:tmpl w:val="F700614C"/>
    <w:lvl w:ilvl="0">
      <w:start w:val="1"/>
      <w:numFmt w:val="bullet"/>
      <w:lvlText w:val=""/>
      <w:lvlJc w:val="left"/>
      <w:pPr>
        <w:ind w:left="540" w:hanging="360"/>
      </w:pPr>
      <w:rPr>
        <w:rFonts w:ascii="Wingdings" w:hAnsi="Wingdings" w:hint="default"/>
        <w:color w:val="5083C9"/>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84467882">
    <w:abstractNumId w:val="0"/>
  </w:num>
  <w:num w:numId="2" w16cid:durableId="1061368909">
    <w:abstractNumId w:val="7"/>
  </w:num>
  <w:num w:numId="3" w16cid:durableId="837037537">
    <w:abstractNumId w:val="2"/>
  </w:num>
  <w:num w:numId="4" w16cid:durableId="1503813535">
    <w:abstractNumId w:val="8"/>
  </w:num>
  <w:num w:numId="5" w16cid:durableId="310912433">
    <w:abstractNumId w:val="13"/>
  </w:num>
  <w:num w:numId="6" w16cid:durableId="1092438413">
    <w:abstractNumId w:val="3"/>
  </w:num>
  <w:num w:numId="7" w16cid:durableId="2129884181">
    <w:abstractNumId w:val="1"/>
  </w:num>
  <w:num w:numId="8" w16cid:durableId="259030757">
    <w:abstractNumId w:val="5"/>
  </w:num>
  <w:num w:numId="9" w16cid:durableId="1851092922">
    <w:abstractNumId w:val="10"/>
  </w:num>
  <w:num w:numId="10" w16cid:durableId="1051030443">
    <w:abstractNumId w:val="4"/>
  </w:num>
  <w:num w:numId="11" w16cid:durableId="1650556751">
    <w:abstractNumId w:val="9"/>
  </w:num>
  <w:num w:numId="12" w16cid:durableId="339703641">
    <w:abstractNumId w:val="14"/>
  </w:num>
  <w:num w:numId="13" w16cid:durableId="661813437">
    <w:abstractNumId w:val="6"/>
  </w:num>
  <w:num w:numId="14" w16cid:durableId="1635333683">
    <w:abstractNumId w:val="12"/>
  </w:num>
  <w:num w:numId="15" w16cid:durableId="1028528906">
    <w:abstractNumId w:val="15"/>
  </w:num>
  <w:num w:numId="16" w16cid:durableId="6256278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37"/>
    <w:rsid w:val="0000145A"/>
    <w:rsid w:val="0000176E"/>
    <w:rsid w:val="0000299C"/>
    <w:rsid w:val="00026BB7"/>
    <w:rsid w:val="00040C80"/>
    <w:rsid w:val="0004658B"/>
    <w:rsid w:val="000577F1"/>
    <w:rsid w:val="00065AD0"/>
    <w:rsid w:val="00072FD6"/>
    <w:rsid w:val="000847AD"/>
    <w:rsid w:val="00090473"/>
    <w:rsid w:val="000A38B2"/>
    <w:rsid w:val="000A40BE"/>
    <w:rsid w:val="000B1B1F"/>
    <w:rsid w:val="000B7779"/>
    <w:rsid w:val="000D0D89"/>
    <w:rsid w:val="000D48C9"/>
    <w:rsid w:val="000D63C8"/>
    <w:rsid w:val="000F1275"/>
    <w:rsid w:val="000F31DB"/>
    <w:rsid w:val="000F4719"/>
    <w:rsid w:val="00110CF4"/>
    <w:rsid w:val="0012162D"/>
    <w:rsid w:val="001219EB"/>
    <w:rsid w:val="00123978"/>
    <w:rsid w:val="001327E9"/>
    <w:rsid w:val="00140948"/>
    <w:rsid w:val="00140B40"/>
    <w:rsid w:val="00145D03"/>
    <w:rsid w:val="00152EC0"/>
    <w:rsid w:val="00156739"/>
    <w:rsid w:val="0016683E"/>
    <w:rsid w:val="00171781"/>
    <w:rsid w:val="0017206C"/>
    <w:rsid w:val="001725D9"/>
    <w:rsid w:val="00183968"/>
    <w:rsid w:val="0019038E"/>
    <w:rsid w:val="0019295D"/>
    <w:rsid w:val="001933A7"/>
    <w:rsid w:val="00196634"/>
    <w:rsid w:val="001973F5"/>
    <w:rsid w:val="00197A9E"/>
    <w:rsid w:val="001A388A"/>
    <w:rsid w:val="001B1A7E"/>
    <w:rsid w:val="001B2123"/>
    <w:rsid w:val="001B40D4"/>
    <w:rsid w:val="001B5774"/>
    <w:rsid w:val="001B60A7"/>
    <w:rsid w:val="001B67AF"/>
    <w:rsid w:val="001C2132"/>
    <w:rsid w:val="001D1940"/>
    <w:rsid w:val="001D7CF5"/>
    <w:rsid w:val="001E0A65"/>
    <w:rsid w:val="001F039B"/>
    <w:rsid w:val="001F4E63"/>
    <w:rsid w:val="001F4FFB"/>
    <w:rsid w:val="001F767C"/>
    <w:rsid w:val="00212D2E"/>
    <w:rsid w:val="0021506A"/>
    <w:rsid w:val="0021610A"/>
    <w:rsid w:val="0021689B"/>
    <w:rsid w:val="002207D6"/>
    <w:rsid w:val="00224460"/>
    <w:rsid w:val="0023181C"/>
    <w:rsid w:val="00235733"/>
    <w:rsid w:val="0024208C"/>
    <w:rsid w:val="0026000D"/>
    <w:rsid w:val="002665AB"/>
    <w:rsid w:val="00267DCB"/>
    <w:rsid w:val="00270232"/>
    <w:rsid w:val="00272CB8"/>
    <w:rsid w:val="00274926"/>
    <w:rsid w:val="00282C22"/>
    <w:rsid w:val="00295154"/>
    <w:rsid w:val="002A337A"/>
    <w:rsid w:val="002B7AE0"/>
    <w:rsid w:val="002B7D21"/>
    <w:rsid w:val="002C2D44"/>
    <w:rsid w:val="002D387D"/>
    <w:rsid w:val="002D7CDA"/>
    <w:rsid w:val="002E198E"/>
    <w:rsid w:val="002E1CD5"/>
    <w:rsid w:val="002E7832"/>
    <w:rsid w:val="002F02F6"/>
    <w:rsid w:val="002F1868"/>
    <w:rsid w:val="002F3024"/>
    <w:rsid w:val="00314059"/>
    <w:rsid w:val="00314238"/>
    <w:rsid w:val="00316A2A"/>
    <w:rsid w:val="00320835"/>
    <w:rsid w:val="003243B0"/>
    <w:rsid w:val="003267EB"/>
    <w:rsid w:val="00334D44"/>
    <w:rsid w:val="00354A7B"/>
    <w:rsid w:val="0035530B"/>
    <w:rsid w:val="00362D16"/>
    <w:rsid w:val="00371C42"/>
    <w:rsid w:val="00371CA1"/>
    <w:rsid w:val="0037553A"/>
    <w:rsid w:val="00375B87"/>
    <w:rsid w:val="00377AA8"/>
    <w:rsid w:val="00380E4A"/>
    <w:rsid w:val="003864EA"/>
    <w:rsid w:val="00387252"/>
    <w:rsid w:val="003A6B72"/>
    <w:rsid w:val="003B7CD4"/>
    <w:rsid w:val="003C10A8"/>
    <w:rsid w:val="003C7FDD"/>
    <w:rsid w:val="003D0D81"/>
    <w:rsid w:val="003D1030"/>
    <w:rsid w:val="003F33DD"/>
    <w:rsid w:val="00401DA7"/>
    <w:rsid w:val="004118AE"/>
    <w:rsid w:val="00416708"/>
    <w:rsid w:val="00421D1C"/>
    <w:rsid w:val="0042429A"/>
    <w:rsid w:val="00424E85"/>
    <w:rsid w:val="00441851"/>
    <w:rsid w:val="0044776D"/>
    <w:rsid w:val="00450735"/>
    <w:rsid w:val="0045075C"/>
    <w:rsid w:val="00463AFA"/>
    <w:rsid w:val="00472B08"/>
    <w:rsid w:val="004779DB"/>
    <w:rsid w:val="00484002"/>
    <w:rsid w:val="00485C3A"/>
    <w:rsid w:val="004905E4"/>
    <w:rsid w:val="004934D4"/>
    <w:rsid w:val="004948F6"/>
    <w:rsid w:val="00495DD0"/>
    <w:rsid w:val="004967FA"/>
    <w:rsid w:val="004A1834"/>
    <w:rsid w:val="004A5C22"/>
    <w:rsid w:val="004A65E6"/>
    <w:rsid w:val="004B125C"/>
    <w:rsid w:val="004B2883"/>
    <w:rsid w:val="004B5425"/>
    <w:rsid w:val="004D7844"/>
    <w:rsid w:val="004E5AA1"/>
    <w:rsid w:val="004E5E13"/>
    <w:rsid w:val="004F3C17"/>
    <w:rsid w:val="004F40F5"/>
    <w:rsid w:val="00506D93"/>
    <w:rsid w:val="00511288"/>
    <w:rsid w:val="00512A87"/>
    <w:rsid w:val="0051501D"/>
    <w:rsid w:val="00517C79"/>
    <w:rsid w:val="00521E46"/>
    <w:rsid w:val="00526C74"/>
    <w:rsid w:val="005333CC"/>
    <w:rsid w:val="005335FD"/>
    <w:rsid w:val="00534014"/>
    <w:rsid w:val="00534277"/>
    <w:rsid w:val="00536A66"/>
    <w:rsid w:val="00537718"/>
    <w:rsid w:val="005435BE"/>
    <w:rsid w:val="005527D8"/>
    <w:rsid w:val="005701E3"/>
    <w:rsid w:val="005806E6"/>
    <w:rsid w:val="00584B55"/>
    <w:rsid w:val="00586311"/>
    <w:rsid w:val="00595E4C"/>
    <w:rsid w:val="00597250"/>
    <w:rsid w:val="005A0370"/>
    <w:rsid w:val="005A5BCC"/>
    <w:rsid w:val="005C447D"/>
    <w:rsid w:val="005C46C0"/>
    <w:rsid w:val="005C59FA"/>
    <w:rsid w:val="005D05D9"/>
    <w:rsid w:val="005E4D2F"/>
    <w:rsid w:val="005E501B"/>
    <w:rsid w:val="005E5147"/>
    <w:rsid w:val="005E6FE3"/>
    <w:rsid w:val="0060403A"/>
    <w:rsid w:val="006079C5"/>
    <w:rsid w:val="00610D7A"/>
    <w:rsid w:val="0061237B"/>
    <w:rsid w:val="00625E81"/>
    <w:rsid w:val="00647064"/>
    <w:rsid w:val="00657C02"/>
    <w:rsid w:val="00677DD4"/>
    <w:rsid w:val="00686482"/>
    <w:rsid w:val="00695A1D"/>
    <w:rsid w:val="006A190C"/>
    <w:rsid w:val="006A4CCA"/>
    <w:rsid w:val="006B1B1D"/>
    <w:rsid w:val="006B2E3A"/>
    <w:rsid w:val="006B3618"/>
    <w:rsid w:val="006C00E2"/>
    <w:rsid w:val="006C3408"/>
    <w:rsid w:val="006D0148"/>
    <w:rsid w:val="006D2EA1"/>
    <w:rsid w:val="006D7A37"/>
    <w:rsid w:val="006E21FB"/>
    <w:rsid w:val="006E3B62"/>
    <w:rsid w:val="006F26B0"/>
    <w:rsid w:val="006F3D3D"/>
    <w:rsid w:val="00701A5C"/>
    <w:rsid w:val="00703BF7"/>
    <w:rsid w:val="00707343"/>
    <w:rsid w:val="007201D3"/>
    <w:rsid w:val="0072304C"/>
    <w:rsid w:val="007238D7"/>
    <w:rsid w:val="007250DD"/>
    <w:rsid w:val="00730802"/>
    <w:rsid w:val="00731A58"/>
    <w:rsid w:val="00740129"/>
    <w:rsid w:val="00741AF9"/>
    <w:rsid w:val="007420AA"/>
    <w:rsid w:val="0074786B"/>
    <w:rsid w:val="007538F8"/>
    <w:rsid w:val="00756A11"/>
    <w:rsid w:val="007623EB"/>
    <w:rsid w:val="00762D4E"/>
    <w:rsid w:val="007736AC"/>
    <w:rsid w:val="00782C7A"/>
    <w:rsid w:val="00785267"/>
    <w:rsid w:val="0079625A"/>
    <w:rsid w:val="0079674A"/>
    <w:rsid w:val="00797D09"/>
    <w:rsid w:val="007A2EE0"/>
    <w:rsid w:val="007A4332"/>
    <w:rsid w:val="007A7C37"/>
    <w:rsid w:val="007A7CE7"/>
    <w:rsid w:val="007B016A"/>
    <w:rsid w:val="007B432D"/>
    <w:rsid w:val="007C1C13"/>
    <w:rsid w:val="007C3CCA"/>
    <w:rsid w:val="007C524A"/>
    <w:rsid w:val="007F66C2"/>
    <w:rsid w:val="007F77DA"/>
    <w:rsid w:val="007F7BB9"/>
    <w:rsid w:val="00802FF0"/>
    <w:rsid w:val="008126D9"/>
    <w:rsid w:val="00816AC2"/>
    <w:rsid w:val="00817EEE"/>
    <w:rsid w:val="008254B5"/>
    <w:rsid w:val="008256D2"/>
    <w:rsid w:val="00826394"/>
    <w:rsid w:val="00826D83"/>
    <w:rsid w:val="00834BB4"/>
    <w:rsid w:val="00844896"/>
    <w:rsid w:val="0084543D"/>
    <w:rsid w:val="0086588A"/>
    <w:rsid w:val="008737BF"/>
    <w:rsid w:val="00881884"/>
    <w:rsid w:val="008A58AC"/>
    <w:rsid w:val="008A7E71"/>
    <w:rsid w:val="008B0991"/>
    <w:rsid w:val="008B669B"/>
    <w:rsid w:val="008C01A9"/>
    <w:rsid w:val="008C3137"/>
    <w:rsid w:val="008C3FE0"/>
    <w:rsid w:val="008C4D53"/>
    <w:rsid w:val="008C539C"/>
    <w:rsid w:val="008D3F73"/>
    <w:rsid w:val="008F109D"/>
    <w:rsid w:val="008F49EE"/>
    <w:rsid w:val="008F7B15"/>
    <w:rsid w:val="00900DF5"/>
    <w:rsid w:val="00912209"/>
    <w:rsid w:val="00920BA2"/>
    <w:rsid w:val="00926535"/>
    <w:rsid w:val="00931369"/>
    <w:rsid w:val="00942AC4"/>
    <w:rsid w:val="00947E11"/>
    <w:rsid w:val="00951101"/>
    <w:rsid w:val="00951246"/>
    <w:rsid w:val="00957814"/>
    <w:rsid w:val="00971A31"/>
    <w:rsid w:val="0098047D"/>
    <w:rsid w:val="0098636D"/>
    <w:rsid w:val="00990124"/>
    <w:rsid w:val="00993033"/>
    <w:rsid w:val="009A2B31"/>
    <w:rsid w:val="009A499D"/>
    <w:rsid w:val="009A5DDC"/>
    <w:rsid w:val="009A663E"/>
    <w:rsid w:val="009B1FB2"/>
    <w:rsid w:val="009C275D"/>
    <w:rsid w:val="009C4093"/>
    <w:rsid w:val="009C444A"/>
    <w:rsid w:val="009D323F"/>
    <w:rsid w:val="009D4BB6"/>
    <w:rsid w:val="009D6006"/>
    <w:rsid w:val="009E01D9"/>
    <w:rsid w:val="009E4645"/>
    <w:rsid w:val="009E4DC9"/>
    <w:rsid w:val="009E755A"/>
    <w:rsid w:val="009F22B2"/>
    <w:rsid w:val="009F3CA3"/>
    <w:rsid w:val="00A27FA7"/>
    <w:rsid w:val="00A301F8"/>
    <w:rsid w:val="00A337BD"/>
    <w:rsid w:val="00A33E5A"/>
    <w:rsid w:val="00A34095"/>
    <w:rsid w:val="00A357CD"/>
    <w:rsid w:val="00A43BE0"/>
    <w:rsid w:val="00A46068"/>
    <w:rsid w:val="00A46218"/>
    <w:rsid w:val="00A47C53"/>
    <w:rsid w:val="00A62BE1"/>
    <w:rsid w:val="00A632FA"/>
    <w:rsid w:val="00A709C3"/>
    <w:rsid w:val="00A71B7F"/>
    <w:rsid w:val="00A74285"/>
    <w:rsid w:val="00A74995"/>
    <w:rsid w:val="00A81A5A"/>
    <w:rsid w:val="00A822FC"/>
    <w:rsid w:val="00A83C9F"/>
    <w:rsid w:val="00A91E3E"/>
    <w:rsid w:val="00A95212"/>
    <w:rsid w:val="00A95ADA"/>
    <w:rsid w:val="00AA5097"/>
    <w:rsid w:val="00AB0B57"/>
    <w:rsid w:val="00AB48BF"/>
    <w:rsid w:val="00AB6C0C"/>
    <w:rsid w:val="00AC0606"/>
    <w:rsid w:val="00AC29A8"/>
    <w:rsid w:val="00AD0649"/>
    <w:rsid w:val="00B02438"/>
    <w:rsid w:val="00B0417E"/>
    <w:rsid w:val="00B06595"/>
    <w:rsid w:val="00B12185"/>
    <w:rsid w:val="00B21166"/>
    <w:rsid w:val="00B2459F"/>
    <w:rsid w:val="00B246BA"/>
    <w:rsid w:val="00B27C10"/>
    <w:rsid w:val="00B318FD"/>
    <w:rsid w:val="00B34A25"/>
    <w:rsid w:val="00B45CD0"/>
    <w:rsid w:val="00B465E2"/>
    <w:rsid w:val="00B51135"/>
    <w:rsid w:val="00B67BA3"/>
    <w:rsid w:val="00B707C1"/>
    <w:rsid w:val="00B71335"/>
    <w:rsid w:val="00B727AD"/>
    <w:rsid w:val="00B746F4"/>
    <w:rsid w:val="00B91D7E"/>
    <w:rsid w:val="00BA38A8"/>
    <w:rsid w:val="00BA5C8D"/>
    <w:rsid w:val="00BA7C50"/>
    <w:rsid w:val="00BB24C0"/>
    <w:rsid w:val="00BB6B87"/>
    <w:rsid w:val="00BC2395"/>
    <w:rsid w:val="00BC32B1"/>
    <w:rsid w:val="00BC43F1"/>
    <w:rsid w:val="00BC4DA2"/>
    <w:rsid w:val="00BC5073"/>
    <w:rsid w:val="00BD533D"/>
    <w:rsid w:val="00BE7B90"/>
    <w:rsid w:val="00BF044A"/>
    <w:rsid w:val="00BF1282"/>
    <w:rsid w:val="00BF5887"/>
    <w:rsid w:val="00C045EB"/>
    <w:rsid w:val="00C05C98"/>
    <w:rsid w:val="00C15AB9"/>
    <w:rsid w:val="00C22F77"/>
    <w:rsid w:val="00C24A95"/>
    <w:rsid w:val="00C7186A"/>
    <w:rsid w:val="00C7384D"/>
    <w:rsid w:val="00C73DB9"/>
    <w:rsid w:val="00C816FD"/>
    <w:rsid w:val="00C83E62"/>
    <w:rsid w:val="00C8461C"/>
    <w:rsid w:val="00C84C66"/>
    <w:rsid w:val="00C85D35"/>
    <w:rsid w:val="00C86938"/>
    <w:rsid w:val="00C9359B"/>
    <w:rsid w:val="00C95358"/>
    <w:rsid w:val="00CA3D7E"/>
    <w:rsid w:val="00CB6777"/>
    <w:rsid w:val="00CD3293"/>
    <w:rsid w:val="00CE165C"/>
    <w:rsid w:val="00CF1CC7"/>
    <w:rsid w:val="00CF5E21"/>
    <w:rsid w:val="00CF664A"/>
    <w:rsid w:val="00D1319B"/>
    <w:rsid w:val="00D379D5"/>
    <w:rsid w:val="00D44D33"/>
    <w:rsid w:val="00D45984"/>
    <w:rsid w:val="00D507FC"/>
    <w:rsid w:val="00D51A03"/>
    <w:rsid w:val="00D5430E"/>
    <w:rsid w:val="00D54567"/>
    <w:rsid w:val="00D56711"/>
    <w:rsid w:val="00D57A1A"/>
    <w:rsid w:val="00D677C1"/>
    <w:rsid w:val="00D76FCB"/>
    <w:rsid w:val="00D81716"/>
    <w:rsid w:val="00D83095"/>
    <w:rsid w:val="00D8467E"/>
    <w:rsid w:val="00D961AC"/>
    <w:rsid w:val="00DB123E"/>
    <w:rsid w:val="00DB2ADF"/>
    <w:rsid w:val="00DB3E5C"/>
    <w:rsid w:val="00DB40F4"/>
    <w:rsid w:val="00DB6355"/>
    <w:rsid w:val="00DC3880"/>
    <w:rsid w:val="00DC6EAD"/>
    <w:rsid w:val="00DD0545"/>
    <w:rsid w:val="00DE1BBE"/>
    <w:rsid w:val="00DF20BF"/>
    <w:rsid w:val="00DF3867"/>
    <w:rsid w:val="00DF4D8F"/>
    <w:rsid w:val="00E028A2"/>
    <w:rsid w:val="00E16E6C"/>
    <w:rsid w:val="00E16FF3"/>
    <w:rsid w:val="00E20F35"/>
    <w:rsid w:val="00E21D89"/>
    <w:rsid w:val="00E242C5"/>
    <w:rsid w:val="00E3447C"/>
    <w:rsid w:val="00E40C92"/>
    <w:rsid w:val="00E40F5B"/>
    <w:rsid w:val="00E55711"/>
    <w:rsid w:val="00E57C43"/>
    <w:rsid w:val="00E6115F"/>
    <w:rsid w:val="00E649C3"/>
    <w:rsid w:val="00E67C4B"/>
    <w:rsid w:val="00E866B6"/>
    <w:rsid w:val="00E9376A"/>
    <w:rsid w:val="00E9455B"/>
    <w:rsid w:val="00E97049"/>
    <w:rsid w:val="00EA1143"/>
    <w:rsid w:val="00EA2BB6"/>
    <w:rsid w:val="00EA53B9"/>
    <w:rsid w:val="00EC08C0"/>
    <w:rsid w:val="00EC1229"/>
    <w:rsid w:val="00EC2053"/>
    <w:rsid w:val="00ED50C7"/>
    <w:rsid w:val="00EF0F88"/>
    <w:rsid w:val="00EF5623"/>
    <w:rsid w:val="00EF7BE8"/>
    <w:rsid w:val="00F021E9"/>
    <w:rsid w:val="00F07A88"/>
    <w:rsid w:val="00F132A8"/>
    <w:rsid w:val="00F1668D"/>
    <w:rsid w:val="00F211CA"/>
    <w:rsid w:val="00F2305D"/>
    <w:rsid w:val="00F34A1C"/>
    <w:rsid w:val="00F42565"/>
    <w:rsid w:val="00F43188"/>
    <w:rsid w:val="00F44C9B"/>
    <w:rsid w:val="00F52135"/>
    <w:rsid w:val="00F52E38"/>
    <w:rsid w:val="00F53570"/>
    <w:rsid w:val="00F57632"/>
    <w:rsid w:val="00F57825"/>
    <w:rsid w:val="00F7150C"/>
    <w:rsid w:val="00F9385F"/>
    <w:rsid w:val="00FA2E46"/>
    <w:rsid w:val="00FA63A0"/>
    <w:rsid w:val="00FD4E43"/>
    <w:rsid w:val="00FD61EC"/>
    <w:rsid w:val="00FD7DAA"/>
    <w:rsid w:val="00FE2DAD"/>
    <w:rsid w:val="00FF3F30"/>
    <w:rsid w:val="00FF780B"/>
  </w:rsids>
  <w:docVars>
    <w:docVar w:name="__Grammarly_42___1" w:val="H4sIAAAAAAAEAKtWcslP9kxRslIyNDY2MTExNTSytDAyNzEA0ko6SsGpxcWZ+XkgBYa1ADWR9Kk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8EAEB8"/>
  <w15:chartTrackingRefBased/>
  <w15:docId w15:val="{1ED56B5A-E44E-4B0B-B55C-9ED9360B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character" w:styleId="UnresolvedMention">
    <w:name w:val="Unresolved Mention"/>
    <w:basedOn w:val="DefaultParagraphFont"/>
    <w:uiPriority w:val="99"/>
    <w:semiHidden/>
    <w:unhideWhenUsed/>
    <w:rsid w:val="00362D16"/>
    <w:rPr>
      <w:color w:val="605E5C"/>
      <w:shd w:val="clear" w:color="auto" w:fill="E1DFDD"/>
    </w:rPr>
  </w:style>
  <w:style w:type="paragraph" w:styleId="Revision">
    <w:name w:val="Revision"/>
    <w:hidden/>
    <w:uiPriority w:val="99"/>
    <w:semiHidden/>
    <w:rsid w:val="00597250"/>
    <w:pPr>
      <w:spacing w:after="0" w:line="240" w:lineRule="auto"/>
    </w:pPr>
  </w:style>
  <w:style w:type="character" w:styleId="FollowedHyperlink">
    <w:name w:val="FollowedHyperlink"/>
    <w:basedOn w:val="DefaultParagraphFont"/>
    <w:uiPriority w:val="99"/>
    <w:semiHidden/>
    <w:unhideWhenUsed/>
    <w:rsid w:val="000017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https://hios.cms.gov/HIOS-GCPCA-UI" TargetMode="External" /><Relationship Id="rId13" Type="http://schemas.openxmlformats.org/officeDocument/2006/relationships/hyperlink" Target="https://www.dol.gov/sites/default/files/ebsa/about-ebsa/our-activities/resource-center/publications/compliance-assistance-guide-appendix-c.pdf" TargetMode="External" /><Relationship Id="rId14" Type="http://schemas.openxmlformats.org/officeDocument/2006/relationships/hyperlink" Target="https://www.dol.gov/agencies/ebsa/laws-and-regulations/laws/chipra" TargetMode="External" /><Relationship Id="rId15" Type="http://schemas.openxmlformats.org/officeDocument/2006/relationships/hyperlink" Target="http://www.irs.gov/pub/irs-pdf/f8508.pdf" TargetMode="External" /><Relationship Id="rId16" Type="http://schemas.openxmlformats.org/officeDocument/2006/relationships/hyperlink" Target="https://www.irs.gov/for-Tax-Pros/Software-Developers/Information-Returns/Affordable-Care-Act-Information-Return-AIR-Program" TargetMode="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_rels/footer1.xml.rels><?xml version="1.0" encoding="utf-8" standalone="yes"?><Relationships xmlns="http://schemas.openxmlformats.org/package/2006/relationships"><Relationship Id="rId1"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5.png" /></Relationships>
</file>

<file path=word/_rels/settings.xml.rels><?xml version="1.0" encoding="utf-8" standalone="yes"?><Relationships xmlns="http://schemas.openxmlformats.org/package/2006/relationships"><Relationship Id="rId1" Type="http://schemas.openxmlformats.org/officeDocument/2006/relationships/attachedTemplate" Target="file:///M:\MASTER%20TEMPLATES\Legal%20Content\2023%20Compliance%20Document%20Templates\Compliance%20Overview\Portrait\EB_Compliance%20Overview.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f0d438c-546f-418b-8b34-3aeabdd873e7">
      <Terms xmlns="http://schemas.microsoft.com/office/infopath/2007/PartnerControls"/>
    </lcf76f155ced4ddcb4097134ff3c332f>
    <TaxCatchAll xmlns="b8e3cc31-5e35-410f-816b-f92194aa70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DBEEAB1C8494469052C42F3E641444" ma:contentTypeVersion="19" ma:contentTypeDescription="Create a new document." ma:contentTypeScope="" ma:versionID="874da43541704955025f05c9d3390adc">
  <xsd:schema xmlns:xsd="http://www.w3.org/2001/XMLSchema" xmlns:xs="http://www.w3.org/2001/XMLSchema" xmlns:p="http://schemas.microsoft.com/office/2006/metadata/properties" xmlns:ns1="http://schemas.microsoft.com/sharepoint/v3" xmlns:ns2="7f0d438c-546f-418b-8b34-3aeabdd873e7" xmlns:ns3="b8e3cc31-5e35-410f-816b-f92194aa7093" targetNamespace="http://schemas.microsoft.com/office/2006/metadata/properties" ma:root="true" ma:fieldsID="8025c0b9946ee1189beb5e30b8324ca3" ns1:_="" ns2:_="" ns3:_="">
    <xsd:import namespace="http://schemas.microsoft.com/sharepoint/v3"/>
    <xsd:import namespace="7f0d438c-546f-418b-8b34-3aeabdd873e7"/>
    <xsd:import namespace="b8e3cc31-5e35-410f-816b-f92194aa7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d438c-546f-418b-8b34-3aeabdd87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5696d3-a483-472b-9efb-84a45ba5b3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3cc31-5e35-410f-816b-f92194aa70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f3ee35-7626-46c8-a433-74b9dadabf13}" ma:internalName="TaxCatchAll" ma:showField="CatchAllData" ma:web="b8e3cc31-5e35-410f-816b-f92194aa7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BA745-830D-4A88-8B27-5FEBA0B1A05B}">
  <ds:schemaRefs>
    <ds:schemaRef ds:uri="http://schemas.openxmlformats.org/officeDocument/2006/bibliography"/>
  </ds:schemaRefs>
</ds:datastoreItem>
</file>

<file path=customXml/itemProps2.xml><?xml version="1.0" encoding="utf-8"?>
<ds:datastoreItem xmlns:ds="http://schemas.openxmlformats.org/officeDocument/2006/customXml" ds:itemID="{493CFEF0-5794-4BCC-9BCF-19109F245AE0}">
  <ds:schemaRefs>
    <ds:schemaRef ds:uri="http://schemas.microsoft.com/office/2006/metadata/properties"/>
    <ds:schemaRef ds:uri="http://schemas.microsoft.com/office/infopath/2007/PartnerControls"/>
    <ds:schemaRef ds:uri="http://schemas.microsoft.com/sharepoint/v3"/>
    <ds:schemaRef ds:uri="7f0d438c-546f-418b-8b34-3aeabdd873e7"/>
    <ds:schemaRef ds:uri="b8e3cc31-5e35-410f-816b-f92194aa7093"/>
  </ds:schemaRefs>
</ds:datastoreItem>
</file>

<file path=customXml/itemProps3.xml><?xml version="1.0" encoding="utf-8"?>
<ds:datastoreItem xmlns:ds="http://schemas.openxmlformats.org/officeDocument/2006/customXml" ds:itemID="{696987F5-A102-40CB-B0A3-AADD1D4F8F72}">
  <ds:schemaRefs>
    <ds:schemaRef ds:uri="http://schemas.microsoft.com/sharepoint/v3/contenttype/forms"/>
  </ds:schemaRefs>
</ds:datastoreItem>
</file>

<file path=customXml/itemProps4.xml><?xml version="1.0" encoding="utf-8"?>
<ds:datastoreItem xmlns:ds="http://schemas.openxmlformats.org/officeDocument/2006/customXml" ds:itemID="{10FCACF2-860C-4912-822F-FD8883B0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0d438c-546f-418b-8b34-3aeabdd873e7"/>
    <ds:schemaRef ds:uri="b8e3cc31-5e35-410f-816b-f92194aa7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EB_Compliance Overview.dotx</Template>
  <TotalTime>5</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Margerie, Erin</dc:creator>
  <cp:lastModifiedBy>Margerie, Erin</cp:lastModifiedBy>
  <cp:revision>3</cp:revision>
  <dcterms:created xsi:type="dcterms:W3CDTF">2023-11-14T18:36:00Z</dcterms:created>
  <dcterms:modified xsi:type="dcterms:W3CDTF">2023-11-15T16:00:00Z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0x01010008DBEEAB1C8494469052C42F3E641444</vt:lpwstr>
  </property>
  <property fmtid="{D5CDD505-2E9C-101B-9397-08002B2CF9AE}" pid="3" name="MediaServiceImageTags">
    <vt:lpwstr/>
  </property>
</Properties>
</file>